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hAnsi="Arial"/>
          <w:b w:val="1"/>
          <w:bCs w:val="1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shd w:val="clear" w:color="auto" w:fill="ffff00"/>
          <w:rtl w:val="0"/>
          <w:lang w:val="en-US"/>
        </w:rPr>
        <w:t xml:space="preserve">Primary 5-11 / </w:t>
      </w:r>
      <w:r>
        <w:rPr>
          <w:rFonts w:ascii="Arial" w:hAnsi="Arial"/>
          <w:b w:val="1"/>
          <w:bCs w:val="1"/>
          <w:rtl w:val="0"/>
          <w:lang w:val="en-US"/>
        </w:rPr>
        <w:t xml:space="preserve">Curriculum Map </w:t>
      </w:r>
      <w:r>
        <w:rPr>
          <w:rFonts w:ascii="Arial" w:hAnsi="Arial"/>
          <w:b w:val="1"/>
          <w:bCs w:val="1"/>
          <w:shd w:val="clear" w:color="auto" w:fill="ffff00"/>
          <w:rtl w:val="0"/>
          <w:lang w:val="en-US"/>
        </w:rPr>
        <w:t>(History)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PG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tbl>
      <w:tblPr>
        <w:tblW w:w="13948" w:type="dxa"/>
        <w:jc w:val="left"/>
        <w:tblInd w:w="3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43"/>
        <w:gridCol w:w="1579"/>
        <w:gridCol w:w="1493"/>
        <w:gridCol w:w="1514"/>
        <w:gridCol w:w="6846"/>
        <w:gridCol w:w="1373"/>
      </w:tblGrid>
      <w:tr>
        <w:tblPrEx>
          <w:shd w:val="clear" w:color="auto" w:fill="cdd4e9"/>
        </w:tblPrEx>
        <w:trPr>
          <w:trHeight w:val="364" w:hRule="atLeast"/>
        </w:trPr>
        <w:tc>
          <w:tcPr>
            <w:tcW w:type="dxa" w:w="1394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University Curriculum </w:t>
            </w:r>
            <w:r>
              <w:rPr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cdd4e9"/>
        </w:tblPrEx>
        <w:trPr>
          <w:trHeight w:val="1388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Sequence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Content Subject Specific Components/s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89847f" w:sz="8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Learn That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(CCF reference in numerics e.g. 1.1)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89847f" w:sz="8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Learn How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(CCF reference bullets alphabetically e.g. 1c)</w:t>
            </w:r>
          </w:p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Links to Research and Reading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Formative Assessment mode</w:t>
            </w:r>
          </w:p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1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What is History? 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Foundational Knowledge in History is made up of Disciplinary Knowledge and Concepts (Second order concepts) and Substantive knowledge- Chronological knowledge and Substantive concepts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History consists of Key Principles- Knowledge and Understanding, Chronology, Interpretation, Enquiry and Communication and Organisation.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Identity and belonging are a starting point for making sense of the world in historical learning.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New information can be added to existing schemas.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Historical interpretation is determined by age, gender, social and cultural influences, economic considerations and location.</w:t>
            </w:r>
          </w:p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Learning experiences in history are made up of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‘’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Content of History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and 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Process of History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, developing both Substantive knowledge and Disciplinary knowledge</w:t>
            </w:r>
          </w:p>
        </w:tc>
        <w:tc>
          <w:tcPr>
            <w:tcW w:type="dxa" w:w="149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1.2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1.6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2.7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3.3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3.7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4.3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4.9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5.3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7.1</w:t>
            </w:r>
          </w:p>
        </w:tc>
        <w:tc>
          <w:tcPr>
            <w:tcW w:type="dxa" w:w="1514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1.b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3.a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3.f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3.j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4.f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6.a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6.h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7.e</w:t>
            </w:r>
          </w:p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Seminar Reading</w:t>
            </w:r>
          </w:p>
          <w:p>
            <w:pPr>
              <w:pStyle w:val="Default"/>
              <w:spacing w:before="0" w:line="240" w:lineRule="auto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National Curriculum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"https://assets.publishing.service.gov.uk/government/uploads/system/uploads/attachment_data/file/239035/PRIMARY_national_curriculum_-_History.pdf"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National Curriculum History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Research Review Paper- History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"https://www.gov.uk/government/publications/research-review-series-history/research-review-series-history%252525252525252523repeated-encounters"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Research Review Paper History</w:t>
            </w:r>
            <w:r>
              <w:rPr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lang w:val="en-US"/>
                <w14:textFill>
                  <w14:solidFill>
                    <w14:srgbClr w14:val="0000EE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History in Outstanding Primary Schools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"https://educationinspection.blog.gov.uk/2021/04/27/history-in-outstanding-primary-schools/"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https://educationinspection.blog.gov.uk/2021/04/27/history-in-outstanding-primary-schools/</w:t>
            </w:r>
            <w:r>
              <w:rPr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lang w:val="en-US"/>
                <w14:textFill>
                  <w14:solidFill>
                    <w14:srgbClr w14:val="0000EE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u w:color="0000e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u w:color="0000ee"/>
                <w:shd w:val="nil" w:color="auto" w:fill="auto"/>
                <w:rtl w:val="0"/>
                <w:lang w:val="en-US"/>
              </w:rPr>
              <w:t>Primary History Resources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"https://www.history.org.uk/primary/categories/content"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https://www.history.org.uk/primary/categories/content</w:t>
            </w:r>
            <w:r>
              <w:rPr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lang w:val="en-US"/>
                <w14:textFill>
                  <w14:solidFill>
                    <w14:srgbClr w14:val="0000EE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From the CCF:-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Coe, R., Aloisi, C., Higgins., &amp; Major, L. E. (2014) What makes great teaching. Review of the underpinning research. Durham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University: UK. Available at: </w:t>
            </w:r>
            <w:r>
              <w:rPr>
                <w:rStyle w:val="Hyperlink.2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"http://bit.ly/2OvmvKO"</w:instrText>
            </w:r>
            <w:r>
              <w:rPr>
                <w:rStyle w:val="Hyperlink.2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2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http://bit.ly/2OvmvKO</w:t>
            </w:r>
            <w:r>
              <w:rPr/>
              <w:fldChar w:fldCharType="end" w:fldLock="0"/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2</w:t>
            </w:r>
          </w:p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Local History </w:t>
            </w:r>
          </w:p>
        </w:tc>
        <w:tc>
          <w:tcPr>
            <w:tcW w:type="dxa" w:w="157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Begin to act and behave as historians.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 and interrogate sources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Consider aspects of history in lesson design, including enquiry, interpretation and chronology as well as Empathy and Historical Imagination.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Using a wide range of sources, including artefacts, will help create a better picture of the past.</w:t>
            </w:r>
          </w:p>
        </w:tc>
        <w:tc>
          <w:tcPr>
            <w:tcW w:type="dxa" w:w="14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3.1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3.6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4.4</w:t>
            </w:r>
          </w:p>
        </w:tc>
        <w:tc>
          <w:tcPr>
            <w:tcW w:type="dxa" w:w="15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3.b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4.b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4.j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4.o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4.p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6.f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6.p</w:t>
            </w:r>
          </w:p>
        </w:tc>
        <w:tc>
          <w:tcPr>
            <w:tcW w:type="dxa" w:w="684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Local History and a Sense of Identity- PH74 Husband </w:t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Russell C (2016) Essential Primary History. Chapter One. Bibliu </w:t>
            </w:r>
            <w:r>
              <w:rPr>
                <w:rStyle w:val="Hyperlink.3"/>
                <w:rFonts w:ascii="Arial" w:cs="Arial" w:hAnsi="Arial" w:eastAsia="Arial"/>
                <w:outline w:val="0"/>
                <w:color w:val="0070c0"/>
                <w:sz w:val="20"/>
                <w:szCs w:val="20"/>
                <w:u w:val="single" w:color="0070c0"/>
                <w:shd w:val="nil" w:color="auto" w:fill="auto"/>
                <w:lang w:val="en-US"/>
                <w14:textFill>
                  <w14:solidFill>
                    <w14:srgbClr w14:val="0070C0"/>
                  </w14:solidFill>
                </w14:textFill>
              </w:rPr>
              <w:fldChar w:fldCharType="begin" w:fldLock="0"/>
            </w:r>
            <w:r>
              <w:rPr>
                <w:rStyle w:val="Hyperlink.3"/>
                <w:rFonts w:ascii="Arial" w:cs="Arial" w:hAnsi="Arial" w:eastAsia="Arial"/>
                <w:outline w:val="0"/>
                <w:color w:val="0070c0"/>
                <w:sz w:val="20"/>
                <w:szCs w:val="20"/>
                <w:u w:val="single" w:color="0070c0"/>
                <w:shd w:val="nil" w:color="auto" w:fill="auto"/>
                <w:lang w:val="en-US"/>
                <w14:textFill>
                  <w14:solidFill>
                    <w14:srgbClr w14:val="0070C0"/>
                  </w14:solidFill>
                </w14:textFill>
              </w:rPr>
              <w:instrText xml:space="preserve"> HYPERLINK "https://bibliu.com/"</w:instrText>
            </w:r>
            <w:r>
              <w:rPr>
                <w:rStyle w:val="Hyperlink.3"/>
                <w:rFonts w:ascii="Arial" w:cs="Arial" w:hAnsi="Arial" w:eastAsia="Arial"/>
                <w:outline w:val="0"/>
                <w:color w:val="0070c0"/>
                <w:sz w:val="20"/>
                <w:szCs w:val="20"/>
                <w:u w:val="single" w:color="0070c0"/>
                <w:shd w:val="nil" w:color="auto" w:fill="auto"/>
                <w:lang w:val="en-US"/>
                <w14:textFill>
                  <w14:solidFill>
                    <w14:srgbClr w14:val="0070C0"/>
                  </w14:solidFill>
                </w14:textFill>
              </w:rPr>
              <w:fldChar w:fldCharType="separate" w:fldLock="0"/>
            </w:r>
            <w:r>
              <w:rPr>
                <w:rStyle w:val="Hyperlink.3"/>
                <w:rFonts w:ascii="Arial" w:hAnsi="Arial"/>
                <w:outline w:val="0"/>
                <w:color w:val="0070c0"/>
                <w:sz w:val="20"/>
                <w:szCs w:val="20"/>
                <w:u w:val="single" w:color="0070c0"/>
                <w:shd w:val="nil" w:color="auto" w:fill="auto"/>
                <w:rtl w:val="0"/>
                <w:lang w:val="en-US"/>
                <w14:textFill>
                  <w14:solidFill>
                    <w14:srgbClr w14:val="0070C0"/>
                  </w14:solidFill>
                </w14:textFill>
              </w:rPr>
              <w:t>https://bibliu.com/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Readings for Next session:-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Avoid out of Date History teaching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tes.com/magazine/news/general/avoid-out-date-history-teaching-warns-ofsted%252525252525252523:~:text=Ofsted%25252525252525252520has%25252525252525252520set%25252525252525252520out%25252525252525252520what,way%25252525252525252520specific%25252525252525252520subjects%25252525252525252520are%25252525252525252520taught.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TES Avoid Out of Date History Teaching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How to teach Primary History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"https://www.tes.com/magazine/teaching-learning/primary/how-teach-primary-history-8-ofsted-findings"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How to Teach Primary History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How to Boost Cultural Capital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"https://educationblog.oup.com/secondary/cultural-capital"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Cultural Capital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Having Fun Through Time PH77 Ian Dawson</w:t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Sticky Knowledge </w:t>
            </w:r>
            <w:r>
              <w:rPr>
                <w:rStyle w:val="Hyperlink.4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4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"https://www.focus-education.co.uk/blog/sticky-knowledge-primary-curriculum/"</w:instrText>
            </w:r>
            <w:r>
              <w:rPr>
                <w:rStyle w:val="Hyperlink.4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4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Sticky Knowledge</w:t>
            </w:r>
            <w:r>
              <w:rPr/>
              <w:fldChar w:fldCharType="end" w:fldLock="0"/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3</w:t>
            </w:r>
          </w:p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Delving Deeper</w:t>
            </w:r>
          </w:p>
        </w:tc>
        <w:tc>
          <w:tcPr>
            <w:tcW w:type="dxa" w:w="157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Map a planning cycle to the 3is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Develop an understanding of the progression in the keys skills in history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An enquiry is developed in five (5) stages.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To act and behave as historians.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language of Enquiry.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That carefully planned opportunities enhance children</w:t>
            </w:r>
            <w:r>
              <w:rPr>
                <w:rStyle w:val="None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 cultural capital, which promotes qualities that lead to developing well rounded citizens.</w:t>
            </w:r>
          </w:p>
        </w:tc>
        <w:tc>
          <w:tcPr>
            <w:tcW w:type="dxa" w:w="14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2.3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2.4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4.6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5.7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6.1</w:t>
            </w:r>
          </w:p>
        </w:tc>
        <w:tc>
          <w:tcPr>
            <w:tcW w:type="dxa" w:w="15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2.a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3.k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3.j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4.h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4.n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5.b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5.3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6.c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8.c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8.g</w:t>
            </w:r>
          </w:p>
        </w:tc>
        <w:tc>
          <w:tcPr>
            <w:tcW w:type="dxa" w:w="684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What confuses children in Primary History? PH74 Tim Lomas</w:t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Chapter 4 Essential Primary History (2016)- Christopher Russell</w:t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Impartiality in Schools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"https://www.gov.uk/government/publications/political-impartiality-in-schools/political-impartiality-in-schools"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https://www.gov.uk/government/publications/political-impartiality-in-schools/political-impartiality-in-schools</w:t>
            </w:r>
            <w:r>
              <w:rPr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The Discovery of the village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"http://www.orkneyjar.com/history/skarabrae/"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http://www.orkneyjar.com/history/skarabrae/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Nat Geo Kids - Skara Brae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"https://www.natgeokids.com/uk/discover/history/general-history/skara-brae/"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Skara Brae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History Hit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"https://www.historyhit.com/locations/skara-brae/"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https://www.historyhit.com/locations/skara-brae/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Historical Association Significance at KS1- Ian Dawson </w: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"https://www.history.org.uk/primary/categories/781/module/6769/significance-at-key-stage-1"</w:instrTex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https://www.history.org.uk/primary/categories/781/module/6769/significance-at-key-stage-1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Progression in History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"https://www.exeter.ac.uk/media/universityofexeter/collegeofsocialsciencesandinternationalstudies/education/pgce/pre-coursedocuments/pre-coursedocuments2018-19/Progression_in_History_under_the_2014_National_Curriculum.pdf"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Jamie Byrom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u w:color="0070c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u w:color="0070c0"/>
                <w:shd w:val="nil" w:color="auto" w:fill="auto"/>
                <w:rtl w:val="0"/>
                <w:lang w:val="en-US"/>
              </w:rPr>
              <w:t>From the CCF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u w:color="0070c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Dunlosky, J., Rawson, K. A., Marsh, E. J., Nathan, M. J., &amp; Willingham, D. T. (2013) Improving students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learning with effective learning techniques: Promising directions from cognitive and educational psychology. Psychological Science in the Public Interest, Supplement, 14(1), 4</w:t>
            </w:r>
            <w:r>
              <w:rPr>
                <w:rStyle w:val="None"/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58. </w:t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"https://doi.org/10.1177/1529100612453266"</w:instrText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6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https://doi.org/10.1177/1529100612453266</w:t>
            </w:r>
            <w:r>
              <w:rPr/>
              <w:fldChar w:fldCharType="end" w:fldLock="0"/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Session 4</w:t>
            </w:r>
          </w:p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Exploring Tutenkhamun</w:t>
            </w:r>
          </w:p>
        </w:tc>
        <w:tc>
          <w:tcPr>
            <w:tcW w:type="dxa" w:w="157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Retrieval of prior learning.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Progression of Substantive Concepts- Tim Jenner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Lewis and Wray Writing Frames- The value of making judgements, organising and selection as part of the Key Principles of History.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Significant People, Links to KS1 NC, Creating a Challenging learning experience in History. 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EDI lessons and enquiry lesson formats.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Sources can be questioned for reliability, provenance, motivation and bias.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Significance</w:t>
            </w: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Ancient Egypt- Howard Carter and Tutankhamun</w:t>
            </w:r>
            <w:r>
              <w:rPr>
                <w:rStyle w:val="None"/>
                <w:rFonts w:ascii="Arial Unicode MS" w:hAnsi="Arial Unicode MS" w:hint="default"/>
                <w:sz w:val="14"/>
                <w:szCs w:val="14"/>
                <w:shd w:val="nil" w:color="auto" w:fill="auto"/>
                <w:rtl w:val="1"/>
                <w:lang w:val="ar-SA" w:bidi="ar-SA"/>
              </w:rPr>
              <w:t>’</w:t>
            </w: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s Tomb and Controversial Issues. 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Controversial Issues in History, Inclusivity and Social Justice. 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Table Style 2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Historical Significance in planning a bespoke curriculum</w:t>
            </w:r>
          </w:p>
          <w:p>
            <w:pPr>
              <w:pStyle w:val="Table Style 2 A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The role organisations, such as the Historical Association, have in developing and evolving thinking in primary history.</w:t>
            </w:r>
          </w:p>
        </w:tc>
        <w:tc>
          <w:tcPr>
            <w:tcW w:type="dxa" w:w="14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0000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1.2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1.3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2.6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3.10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5.2</w:t>
            </w:r>
          </w:p>
        </w:tc>
        <w:tc>
          <w:tcPr>
            <w:tcW w:type="dxa" w:w="15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0000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2.d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2.j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2.k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4.i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5.l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5.o</w:t>
            </w:r>
          </w:p>
        </w:tc>
        <w:tc>
          <w:tcPr>
            <w:tcW w:type="dxa" w:w="684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72c4"/>
                <w:sz w:val="20"/>
                <w:szCs w:val="20"/>
                <w:u w:val="single"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What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the wisdom on assessment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  </w:t>
            </w:r>
            <w:r>
              <w:rPr>
                <w:rStyle w:val="Hyperlink.7"/>
                <w:rFonts w:ascii="Arial" w:cs="Arial" w:hAnsi="Arial" w:eastAsia="Arial"/>
                <w:outline w:val="0"/>
                <w:color w:val="0000ff"/>
                <w:sz w:val="20"/>
                <w:szCs w:val="20"/>
                <w:u w:val="non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7"/>
                <w:rFonts w:ascii="Arial" w:cs="Arial" w:hAnsi="Arial" w:eastAsia="Arial"/>
                <w:outline w:val="0"/>
                <w:color w:val="0000ff"/>
                <w:sz w:val="20"/>
                <w:szCs w:val="20"/>
                <w:u w:val="non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"https://www.history.org.uk/publications/resource/10328/whats-the-wisdom-on-history-assessment"</w:instrText>
            </w:r>
            <w:r>
              <w:rPr>
                <w:rStyle w:val="Hyperlink.7"/>
                <w:rFonts w:ascii="Arial" w:cs="Arial" w:hAnsi="Arial" w:eastAsia="Arial"/>
                <w:outline w:val="0"/>
                <w:color w:val="0000ff"/>
                <w:sz w:val="20"/>
                <w:szCs w:val="20"/>
                <w:u w:val="non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7"/>
                <w:rFonts w:ascii="Arial" w:hAnsi="Arial"/>
                <w:outline w:val="0"/>
                <w:color w:val="0000ff"/>
                <w:sz w:val="20"/>
                <w:szCs w:val="20"/>
                <w:u w:val="non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What's the Wisdom on Assessment</w:t>
            </w:r>
            <w:r>
              <w:rPr>
                <w:rFonts w:ascii="Arial" w:cs="Arial" w:hAnsi="Arial" w:eastAsia="Arial"/>
                <w:outline w:val="0"/>
                <w:color w:val="4472c4"/>
                <w:sz w:val="20"/>
                <w:szCs w:val="20"/>
                <w:u w:val="single" w:color="4472c4"/>
                <w14:textFill>
                  <w14:solidFill>
                    <w14:srgbClr w14:val="4472C4"/>
                  </w14:solidFill>
                </w14:textFill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Primary History Teachers</w:t>
            </w:r>
            <w:r>
              <w:rPr>
                <w:rStyle w:val="Hyperlink.5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Survey. Historical Association. 2019 </w: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"https://www.history.org.uk/primary/categories/709/news/3823/primary-history-survey-report"</w:instrTex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8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https://www.history.org.uk/primary/categories/709/news/3823/primary-history-survey-report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Research Review Paper </w: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"https://www.gov.uk/government/publications/research-review-series-history/research-review-series-history%2525252525252525252523context-repetition"</w:instrTex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8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Research Review Paper History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July 2021</w:t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National Curriculum for History </w: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"https://assets.publishing.service.gov.uk/government/uploads/system/uploads/attachment_data/file/239035/PRIMARY_national_curriculum_-_History.pdf"</w:instrText>
            </w:r>
            <w:r>
              <w:rPr>
                <w:rStyle w:val="Hyperlink.8"/>
                <w:rFonts w:ascii="Arial" w:cs="Arial" w:hAnsi="Arial" w:eastAsia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8"/>
                <w:rFonts w:ascii="Arial" w:hAnsi="Arial"/>
                <w:outline w:val="0"/>
                <w:color w:val="0563c1"/>
                <w:sz w:val="20"/>
                <w:szCs w:val="20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National Curriculum History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Curriculum Sequencing - how to decide what to teach and when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"https://www.teachwire.net/news/curriculum-sequencing-how-to-decide-what-to-teach-and-when/"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Curriculum Sequencing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Historical Enquiry with Archaeological Artefacts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"https://www.diva-portal.org/smash/record.jsf?pid=diva2%2525252525252525253A1305855&amp;dswid=-3200"</w:instrTex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https://www.diva-portal.org/smash/record.jsf?pid=diva2%3A1305855&amp;dswid=-3200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More than just a word Ailsa Fidler PH84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"https://www.history.org.uk/publications/resource/9753/embedding-progress-in-historical-vocabulary-teachi"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Vocabulary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From the CCF:-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Adesope, O. O., Trevisan, D. A., &amp; Sundararajan, N. (2017) Rethinking the Use of Tests: A Meta-Analysis of Practice Testing.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Review of Educational Research, 87(3), 659</w:t>
            </w:r>
            <w:r>
              <w:rPr>
                <w:rStyle w:val="None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701. </w:t>
            </w:r>
            <w:r>
              <w:rPr>
                <w:rStyle w:val="Hyperlink.9"/>
                <w:rFonts w:ascii="Arial" w:cs="Arial" w:hAnsi="Arial" w:eastAsia="Arial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9"/>
                <w:rFonts w:ascii="Arial" w:cs="Arial" w:hAnsi="Arial" w:eastAsia="Arial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"https://doi.org/10.3102/0034654316689306"</w:instrText>
            </w:r>
            <w:r>
              <w:rPr>
                <w:rStyle w:val="Hyperlink.9"/>
                <w:rFonts w:ascii="Arial" w:cs="Arial" w:hAnsi="Arial" w:eastAsia="Arial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9"/>
                <w:rFonts w:ascii="Arial" w:hAnsi="Arial"/>
                <w:outline w:val="0"/>
                <w:color w:val="0563c1"/>
                <w:sz w:val="16"/>
                <w:szCs w:val="16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https://doi.org/10.3102/0034654316689306</w:t>
            </w:r>
            <w:r>
              <w:rPr/>
              <w:fldChar w:fldCharType="end" w:fldLock="0"/>
            </w:r>
            <w:r>
              <w:rPr>
                <w:rStyle w:val="None"/>
                <w:rFonts w:ascii="Arial" w:hAnsi="Arial"/>
                <w:sz w:val="16"/>
                <w:szCs w:val="16"/>
                <w:shd w:val="nil" w:color="auto" w:fill="auto"/>
                <w:rtl w:val="0"/>
                <w:lang w:val="en-US"/>
              </w:rPr>
              <w:t>.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C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Style w:val="None"/>
                <w:b w:val="1"/>
                <w:bCs w:val="1"/>
                <w:shd w:val="nil" w:color="auto" w:fill="auto"/>
              </w:rPr>
            </w:pPr>
            <w:r>
              <w:rPr>
                <w:rStyle w:val="Hyperlink.5"/>
                <w:b w:val="1"/>
                <w:bCs w:val="1"/>
                <w:shd w:val="nil" w:color="auto" w:fill="auto"/>
                <w:rtl w:val="0"/>
                <w:lang w:val="en-US"/>
              </w:rPr>
              <w:t>Session 5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hd w:val="nil" w:color="auto" w:fill="auto"/>
                <w:rtl w:val="0"/>
                <w:lang w:val="en-US"/>
              </w:rPr>
              <w:t>In The End</w:t>
            </w:r>
          </w:p>
        </w:tc>
        <w:tc>
          <w:tcPr>
            <w:tcW w:type="dxa" w:w="157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Retrieval-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Foundational Knowledge &amp; Find it! Fix It!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Creating learning episodes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NC links to:-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A study of an aspect or theme in British history that extends pupils</w:t>
            </w:r>
            <w:r>
              <w:rPr>
                <w:rStyle w:val="Hyperlink.5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chronological knowledge beyond 1066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Curriculum design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Reading Task- Dialogic talk- Pair Share Work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Rationale for LOtC-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Risk Assessments and behaviours associated with LOtC and educational visits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Seminal Authors (Hein, Symmington and Griffin)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Cultural Capital</w:t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Using Outside Agencies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3.1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3.7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8.1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8.2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8.3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8.7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2.k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3.l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7.b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8.d</w:t>
            </w:r>
          </w:p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hd w:val="nil" w:color="auto" w:fill="auto"/>
                <w:rtl w:val="0"/>
                <w:lang w:val="en-US"/>
              </w:rPr>
              <w:t>Designing a Curriculum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"https://www.teachwire.net/news/how-to-design-a-primary-history-curriculum/"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https://www.teachwire.net/news/how-to-design-a-primary-history-curriculum/</w:t>
            </w:r>
            <w:r>
              <w:rPr>
                <w:rFonts w:ascii="Arial" w:cs="Arial" w:hAnsi="Arial" w:eastAsia="Arial"/>
                <w:outline w:val="0"/>
                <w:color w:val="0070c0"/>
                <w:u w:color="0070c0"/>
                <w14:textFill>
                  <w14:solidFill>
                    <w14:srgbClr w14:val="0070C0"/>
                  </w14:solidFill>
                </w14:textFill>
              </w:rPr>
              <w:fldChar w:fldCharType="end" w:fldLock="0"/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shd w:val="nil" w:color="auto" w:fill="auto"/>
                <w:lang w:val="en-US"/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hd w:val="nil" w:color="auto" w:fill="auto"/>
                <w:rtl w:val="0"/>
                <w:lang w:val="en-US"/>
              </w:rPr>
              <w:t>Cultural Capital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70c0"/>
                <w:u w:color="0070c0"/>
                <w:shd w:val="nil" w:color="auto" w:fill="auto"/>
                <w:rtl w:val="0"/>
                <w14:textFill>
                  <w14:solidFill>
                    <w14:srgbClr w14:val="0070C0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"https://cornerstoneseducation.co.uk/news/developing-cultural-capital-in-your-primary-school/"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https://cornerstoneseducation.co.uk/news/developing-cultural-capital-in-your-primary-school/</w:t>
            </w:r>
            <w:r>
              <w:rPr>
                <w:rFonts w:ascii="Arial" w:cs="Arial" w:hAnsi="Arial" w:eastAsia="Arial"/>
                <w:outline w:val="0"/>
                <w:color w:val="0070c0"/>
                <w:u w:color="0070c0"/>
                <w14:textFill>
                  <w14:solidFill>
                    <w14:srgbClr w14:val="0070C0"/>
                  </w14:solidFill>
                </w14:textFill>
              </w:rPr>
              <w:fldChar w:fldCharType="end" w:fldLock="0"/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outline w:val="0"/>
                <w:color w:val="0070c0"/>
                <w:u w:color="0070c0"/>
                <w:shd w:val="nil" w:color="auto" w:fill="auto"/>
                <w:lang w:val="en-US"/>
                <w14:textFill>
                  <w14:solidFill>
                    <w14:srgbClr w14:val="0070C0"/>
                  </w14:solidFill>
                </w14:textFill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hd w:val="nil" w:color="auto" w:fill="auto"/>
                <w:rtl w:val="0"/>
                <w:lang w:val="en-US"/>
              </w:rPr>
              <w:t>LOtC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"https://onlinelibrary.wiley.com/doi/10.1002/(SICI)1098-237X(199711)81:6%2525252525253C763::AID-SCE11%2525252525253E3.0.CO%252525253B2-O"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https://onlinelibrary.wiley.com/doi/10.1002/%28SICI%291098-237X%28199711%2981%3A6%3C763%3A%3AAID-SCE11%3E3.0.CO%3B2-O</w:t>
            </w:r>
            <w:r>
              <w:rPr>
                <w:rFonts w:ascii="Arial" w:cs="Arial" w:hAnsi="Arial" w:eastAsia="Arial"/>
                <w:outline w:val="0"/>
                <w:color w:val="4472c4"/>
                <w:u w:color="4472c4"/>
                <w14:textFill>
                  <w14:solidFill>
                    <w14:srgbClr w14:val="4472C4"/>
                  </w14:solidFill>
                </w14:textFill>
              </w:rPr>
              <w:fldChar w:fldCharType="end" w:fldLock="0"/>
            </w:r>
          </w:p>
          <w:p>
            <w:pPr>
              <w:pStyle w:val="Body B"/>
              <w:rPr>
                <w:rStyle w:val="None"/>
                <w:rFonts w:ascii="Arial" w:cs="Arial" w:hAnsi="Arial" w:eastAsia="Arial"/>
                <w:outline w:val="0"/>
                <w:color w:val="4472c4"/>
                <w:u w:color="4472c4"/>
                <w:shd w:val="nil" w:color="auto" w:fill="auto"/>
                <w:lang w:val="en-US"/>
                <w14:textFill>
                  <w14:solidFill>
                    <w14:srgbClr w14:val="4472C4"/>
                  </w14:solidFill>
                </w14:textFill>
              </w:rPr>
            </w:pP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u w:color="4472c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u w:color="4472c4"/>
                <w:shd w:val="nil" w:color="auto" w:fill="auto"/>
                <w:rtl w:val="0"/>
                <w:lang w:val="en-US"/>
              </w:rPr>
              <w:t>From the CCF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Sweller, J. (2016). Working Memory, Long-term Memory, and Instructional Design. Journal of Applied Research in Memory and Cognition, 5(4), 360</w:t>
            </w:r>
            <w:r>
              <w:rPr>
                <w:rStyle w:val="Hyperlink.5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–</w:t>
            </w:r>
            <w:r>
              <w:rPr>
                <w:rStyle w:val="Hyperlink.5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367.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"http://doi.org/10.1016/j.jarmac.2015.12.002"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http://doi.org/10.1016/j.jarmac.2015.12.002</w:t>
            </w:r>
            <w:r>
              <w:rPr>
                <w:rFonts w:ascii="Arial" w:cs="Arial" w:hAnsi="Arial" w:eastAsia="Arial"/>
                <w:sz w:val="24"/>
                <w:szCs w:val="24"/>
              </w:rPr>
              <w:fldChar w:fldCharType="end" w:fldLock="0"/>
            </w:r>
            <w:r>
              <w:rPr>
                <w:rStyle w:val="Hyperlink.5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. 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72c4"/>
                <w:u w:color="4472c4"/>
                <w:shd w:val="nil" w:color="auto" w:fill="auto"/>
                <w:rtl w:val="0"/>
                <w14:textFill>
                  <w14:solidFill>
                    <w14:srgbClr w14:val="4472C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Gathercole, S., Lamont, E., &amp; Alloway, T. (2006) Working memory in the classroom. Working memory and education, 219-240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"https://www.bps.org.uk/psychologist/working-memory-classroom"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https://www.bps.org.uk/psychologist/working-memory-classroom</w:t>
            </w:r>
            <w:r>
              <w:rPr>
                <w:rFonts w:ascii="Arial" w:cs="Arial" w:hAnsi="Arial" w:eastAsia="Arial"/>
                <w:outline w:val="0"/>
                <w:color w:val="4472c4"/>
                <w:u w:color="4472c4"/>
                <w14:textFill>
                  <w14:solidFill>
                    <w14:srgbClr w14:val="4472C4"/>
                  </w14:solidFill>
                </w14:textFill>
              </w:rPr>
              <w:fldChar w:fldCharType="end" w:fldLock="0"/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Education Endowment Foundation (2017) Metacognition and Self-regulated learning Guidance Report. [Online] Accessible from: </w:t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"https://educationendowmentfoundation.org.uk/tools/guidance-reports/"</w:instrText>
            </w:r>
            <w:r>
              <w:rPr>
                <w:rStyle w:val="Hyperlink.6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6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https://educationendowmentfoundation.org.uk/tools/guidance-reports/</w:t>
            </w:r>
            <w:r>
              <w:rPr/>
              <w:fldChar w:fldCharType="end" w:fldLock="0"/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[retrieved 10 October 2018].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</w:tr>
      <w:tr>
        <w:tblPrEx>
          <w:shd w:val="clear" w:color="auto" w:fill="cdd4e9"/>
        </w:tblPrEx>
        <w:trPr>
          <w:trHeight w:val="2463" w:hRule="atLeast"/>
        </w:trPr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Lecture 1</w:t>
            </w:r>
          </w:p>
        </w:tc>
        <w:tc>
          <w:tcPr>
            <w:tcW w:type="dxa" w:w="157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History consists of Key Principles- Knowledge and Understanding, Chronology, Interpretation, Enquiry and Communication and Organisation</w:t>
            </w:r>
          </w:p>
        </w:tc>
        <w:tc>
          <w:tcPr>
            <w:tcW w:type="dxa" w:w="14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1.2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1.6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2.9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3.3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4.1</w:t>
            </w:r>
          </w:p>
        </w:tc>
        <w:tc>
          <w:tcPr>
            <w:tcW w:type="dxa" w:w="1514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1.b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2.c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3.a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4.b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4.c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6.g</w:t>
            </w:r>
          </w:p>
        </w:tc>
        <w:tc>
          <w:tcPr>
            <w:tcW w:type="dxa" w:w="684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Russell C (2016) Essential Primary History.</w:t>
            </w:r>
          </w:p>
        </w:tc>
        <w:tc>
          <w:tcPr>
            <w:tcW w:type="dxa" w:w="1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</w:tc>
      </w:tr>
    </w:tbl>
    <w:p>
      <w:pPr>
        <w:pStyle w:val="Body A"/>
        <w:widowControl w:val="0"/>
        <w:spacing w:line="240" w:lineRule="auto"/>
        <w:ind w:left="224" w:hanging="224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116" w:hanging="116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8" w:hanging="8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324" w:hanging="324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216" w:hanging="216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108" w:hanging="108"/>
        <w:rPr>
          <w:rStyle w:val="None"/>
          <w:rFonts w:ascii="Arial" w:cs="Arial" w:hAnsi="Arial" w:eastAsia="Arial"/>
          <w:b w:val="1"/>
          <w:bCs w:val="1"/>
        </w:rPr>
      </w:pPr>
    </w:p>
    <w:tbl>
      <w:tblPr>
        <w:tblW w:w="13947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79"/>
        <w:gridCol w:w="1493"/>
        <w:gridCol w:w="1514"/>
        <w:gridCol w:w="6846"/>
        <w:gridCol w:w="2355"/>
        <w:gridCol w:w="160"/>
      </w:tblGrid>
      <w:tr>
        <w:tblPrEx>
          <w:shd w:val="clear" w:color="auto" w:fill="cdd4e9"/>
        </w:tblPrEx>
        <w:trPr>
          <w:trHeight w:val="364" w:hRule="atLeast"/>
        </w:trPr>
        <w:tc>
          <w:tcPr>
            <w:tcW w:type="dxa" w:w="13947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School Based Curriculum </w:t>
            </w:r>
            <w:r>
              <w:rPr>
                <w:rStyle w:val="None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</w:p>
        </w:tc>
      </w:tr>
      <w:tr>
        <w:tblPrEx>
          <w:shd w:val="clear" w:color="auto" w:fill="cdd4e9"/>
        </w:tblPrEx>
        <w:trPr>
          <w:trHeight w:val="1388" w:hRule="atLeast"/>
        </w:trPr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Session Content Subject Specific Components/s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89847f" w:sz="8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Learn That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(CCF reference in numerics e.g. 1.1)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89847f" w:sz="8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Learn How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(CCF reference bullets alphabetically e.g. 1c)</w:t>
            </w:r>
          </w:p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Links to Research and Reading</w:t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Formative Assessment mode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090" w:hRule="atLeast"/>
        </w:trPr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know types of knowledge- chronological knowledge, fingertip knowledge, generative knowledge and residue.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understand foundation knowledge- disciplinary and substantive knowledge.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be able to plan a lesson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_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E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know history can promote cultural capital.</w:t>
            </w:r>
          </w:p>
          <w:p>
            <w:pPr>
              <w:pStyle w:val="Body E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E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understand transitions between KS1-KS2 and KS3.</w:t>
            </w:r>
          </w:p>
          <w:p>
            <w:pPr>
              <w:pStyle w:val="Body E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be able to plan a sequence of lessons.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_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E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know the role of metacognition in teaching and learning of history</w:t>
            </w:r>
          </w:p>
          <w:p>
            <w:pPr>
              <w:pStyle w:val="Body E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 E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understand approaches in addressing SEND in History</w:t>
            </w:r>
          </w:p>
          <w:p>
            <w:pPr>
              <w:pStyle w:val="Body E"/>
              <w:rPr>
                <w:rStyle w:val="None"/>
                <w:rFonts w:ascii="Arial" w:cs="Arial" w:hAnsi="Arial" w:eastAsia="Arial"/>
                <w:sz w:val="14"/>
                <w:szCs w:val="1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To be able to plan and implement historical learning experiences that fit into a school</w:t>
            </w:r>
            <w:r>
              <w:rPr>
                <w:rStyle w:val="None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14"/>
                <w:szCs w:val="14"/>
                <w:shd w:val="nil" w:color="auto" w:fill="auto"/>
                <w:rtl w:val="0"/>
                <w:lang w:val="en-US"/>
              </w:rPr>
              <w:t>s curriculum.</w:t>
            </w:r>
          </w:p>
        </w:tc>
        <w:tc>
          <w:tcPr>
            <w:tcW w:type="dxa" w:w="149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F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1.2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2.7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3.2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4.2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5.1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6.2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7.1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8.2</w:t>
            </w:r>
          </w:p>
        </w:tc>
        <w:tc>
          <w:tcPr>
            <w:tcW w:type="dxa" w:w="1514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F"/>
              <w:rPr>
                <w:rStyle w:val="None"/>
                <w:shd w:val="nil" w:color="auto" w:fill="auto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1a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1b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1c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2g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3b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3d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4c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5b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6a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7d</w:t>
            </w:r>
          </w:p>
          <w:p>
            <w:pPr>
              <w:pStyle w:val="Body F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8d</w:t>
            </w:r>
          </w:p>
        </w:tc>
        <w:tc>
          <w:tcPr>
            <w:tcW w:type="dxa" w:w="6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92929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The National Curriculum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"https://assets.publishing.service.gov.uk/government/uploads/system/uploads/attachment_data/file/239035/PRIMARY_national_curriculum_-_History.pdf"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National Curriculum History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Research Review Paper- History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"https://www.gov.uk/government/publications/research-review-series-history/research-review-series-history%252525252525252523repeated-encounters"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Research Review Paper History</w:t>
            </w:r>
            <w:r>
              <w:rPr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0000ee"/>
                <w:sz w:val="20"/>
                <w:szCs w:val="20"/>
                <w:u w:val="single" w:color="0000ee"/>
                <w:shd w:val="nil" w:color="auto" w:fill="auto"/>
                <w:lang w:val="en-US"/>
                <w14:textFill>
                  <w14:solidFill>
                    <w14:srgbClr w14:val="0000EE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History in Outstanding Primary Schools</w:t>
            </w: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"https://educationinspection.blog.gov.uk/2021/04/27/history-in-outstanding-primary-schools/"</w:instrTex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https://educationinspection.blog.gov.uk/2021/04/27/history-in-outstanding-primary-schools/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Default"/>
              <w:spacing w:before="0" w:line="240" w:lineRule="auto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Body A A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sz w:val="20"/>
                <w:szCs w:val="20"/>
                <w:u w:val="none"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How to Boost Cultural Capital </w: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"https://educationblog.oup.com/secondary/cultural-capital"</w:instrText>
            </w:r>
            <w:r>
              <w:rPr>
                <w:rStyle w:val="Hyperlink.5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5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Cultural Capital</w:t>
            </w:r>
            <w:r>
              <w:rPr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Body A A"/>
              <w:rPr>
                <w:rStyle w:val="None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Education Endowment Foundation (2017) Metacognition and Self-regulated learning Guidance Report. [Online] Accessible from: </w: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"https://educationendowmentfoundation.org.uk/tools/guidance-reports/"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https://educationendowmentfoundation.org.uk/tools/guidance-reports/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[retrieved 10 October 2018].</w:t>
            </w:r>
          </w:p>
          <w:p>
            <w:pPr>
              <w:pStyle w:val="Body A A"/>
            </w:pPr>
            <w:r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2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Questioning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Hinge Questions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Hyperlink.5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Low Stakes Quizzes</w:t>
            </w:r>
          </w:p>
          <w:p>
            <w:pPr>
              <w:pStyle w:val="Body B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Retrieval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648" w:hanging="648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540" w:hanging="540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ind w:left="432" w:hanging="432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spacing w:line="240" w:lineRule="auto"/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ind w:left="324" w:hanging="324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ind w:left="216" w:hanging="216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ind w:left="108" w:hanging="108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bookmarkStart w:name="_Hlk135137737" w:id="0"/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bookmarkEnd w:id="0"/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page"/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</w:rPr>
      </w:pPr>
      <w:bookmarkStart w:name="_Hlk135137845" w:id="1"/>
    </w:p>
    <w:p>
      <w:pPr>
        <w:pStyle w:val="Body A"/>
        <w:widowControl w:val="0"/>
        <w:spacing w:line="240" w:lineRule="auto"/>
        <w:ind w:left="324" w:hanging="324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spacing w:line="240" w:lineRule="auto"/>
        <w:ind w:left="216" w:hanging="216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spacing w:line="240" w:lineRule="auto"/>
        <w:ind w:left="108" w:hanging="108"/>
        <w:rPr>
          <w:rStyle w:val="None"/>
          <w:rFonts w:ascii="Arial" w:cs="Arial" w:hAnsi="Arial" w:eastAsia="Arial"/>
          <w:sz w:val="20"/>
          <w:szCs w:val="20"/>
        </w:rPr>
      </w:pPr>
      <w:bookmarkEnd w:id="1"/>
    </w:p>
    <w:p>
      <w:pPr>
        <w:pStyle w:val="Body A"/>
        <w:widowControl w:val="0"/>
        <w:spacing w:line="240" w:lineRule="auto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widowControl w:val="0"/>
        <w:spacing w:line="240" w:lineRule="auto"/>
        <w:ind w:left="108" w:hanging="108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bookmarkStart w:name="_Hlk135137896" w:id="2"/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  <w:bookmarkEnd w:id="2"/>
    </w:p>
    <w:p>
      <w:pPr>
        <w:pStyle w:val="Body A"/>
        <w:widowControl w:val="0"/>
        <w:spacing w:line="240" w:lineRule="auto"/>
        <w:jc w:val="center"/>
        <w:rPr>
          <w:rStyle w:val="No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val="single"/>
        </w:rPr>
        <w:br w:type="page"/>
      </w:r>
      <w:bookmarkStart w:name="_Hlk135137995" w:id="3"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Style w:val="None A"/>
      </w:rPr>
      <w:drawing xmlns:a="http://schemas.openxmlformats.org/drawingml/2006/main">
        <wp:inline distT="0" distB="0" distL="0" distR="0">
          <wp:extent cx="2882265" cy="75374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265" cy="7537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1"/>
        <w:bCs w:val="1"/>
        <w:shd w:val="clear" w:color="auto" w:fill="ffffff"/>
      </w:rP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 A">
    <w:name w:val="Table Style 2 A"/>
    <w:next w:val="Table Style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563c1"/>
      <w:sz w:val="20"/>
      <w:szCs w:val="20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0070c0"/>
      <w:u w:val="single" w:color="0070c0"/>
      <w:shd w:val="nil" w:color="auto" w:fill="auto"/>
      <w:lang w:val="en-US"/>
      <w14:textFill>
        <w14:solidFill>
          <w14:srgbClr w14:val="0070C0"/>
        </w14:solidFill>
      </w14:textFill>
    </w:rPr>
  </w:style>
  <w:style w:type="character" w:styleId="Hyperlink.4">
    <w:name w:val="Hyperlink.4"/>
    <w:basedOn w:val="None"/>
    <w:next w:val="Hyperlink.4"/>
    <w:rPr>
      <w:rFonts w:ascii="Arial" w:cs="Arial" w:hAnsi="Arial" w:eastAsia="Arial"/>
      <w:outline w:val="0"/>
      <w:color w:val="0000ff"/>
      <w:sz w:val="20"/>
      <w:szCs w:val="20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5">
    <w:name w:val="Hyperlink.5"/>
    <w:basedOn w:val="None"/>
    <w:next w:val="Hyperlink.5"/>
    <w:rPr>
      <w:shd w:val="nil" w:color="auto" w:fill="auto"/>
      <w:lang w:val="en-US"/>
    </w:rPr>
  </w:style>
  <w:style w:type="character" w:styleId="Hyperlink.6">
    <w:name w:val="Hyperlink.6"/>
    <w:basedOn w:val="None"/>
    <w:next w:val="Hyperlink.6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7">
    <w:name w:val="Hyperlink.7"/>
    <w:basedOn w:val="None"/>
    <w:next w:val="Hyperlink.7"/>
    <w:rPr>
      <w:outline w:val="0"/>
      <w:color w:val="0000ff"/>
      <w:u w:val="non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character" w:styleId="Hyperlink.8">
    <w:name w:val="Hyperlink.8"/>
    <w:basedOn w:val="None"/>
    <w:next w:val="Hyperlink.8"/>
    <w:rPr>
      <w:outline w:val="0"/>
      <w:color w:val="0563c1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Body A A A">
    <w:name w:val="Body A A A"/>
    <w:next w:val="Body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9">
    <w:name w:val="Hyperlink.9"/>
    <w:basedOn w:val="None"/>
    <w:next w:val="Hyperlink.9"/>
    <w:rPr>
      <w:rFonts w:ascii="Arial" w:cs="Arial" w:hAnsi="Arial" w:eastAsia="Arial"/>
      <w:outline w:val="0"/>
      <w:color w:val="0563c1"/>
      <w:sz w:val="16"/>
      <w:szCs w:val="16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E">
    <w:name w:val="Body E"/>
    <w:next w:val="Body 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F">
    <w:name w:val="Body F"/>
    <w:next w:val="Body F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4" ma:contentTypeDescription="Create a new document." ma:contentTypeScope="" ma:versionID="bdc34b0b90af7cb61118be6b7055bfbd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4c43682bd2562f65ccf596206c37599e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A0B85-FB67-48F0-B93A-5F7ED966D47B}"/>
</file>

<file path=customXml/itemProps2.xml><?xml version="1.0" encoding="utf-8"?>
<ds:datastoreItem xmlns:ds="http://schemas.openxmlformats.org/officeDocument/2006/customXml" ds:itemID="{BD68D108-BBF5-46C9-A147-02E68DF2CC43}"/>
</file>

<file path=customXml/itemProps3.xml><?xml version="1.0" encoding="utf-8"?>
<ds:datastoreItem xmlns:ds="http://schemas.openxmlformats.org/officeDocument/2006/customXml" ds:itemID="{1C7EA126-8C5B-47B6-BB2A-AF01ACD1F710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