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4"/>
        <w:gridCol w:w="1119"/>
        <w:gridCol w:w="1230"/>
        <w:gridCol w:w="702"/>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58CDE682"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F51193">
              <w:rPr>
                <w:rFonts w:ascii="Cambria" w:eastAsia="Georgia" w:hAnsi="Cambria" w:cs="Georgia"/>
                <w:b/>
                <w:color w:val="FFFFFF" w:themeColor="background1"/>
                <w:sz w:val="20"/>
                <w:szCs w:val="20"/>
              </w:rPr>
              <w:t>1</w:t>
            </w:r>
            <w:r w:rsidR="0070030C">
              <w:rPr>
                <w:rFonts w:ascii="Cambria" w:eastAsia="Georgia" w:hAnsi="Cambria" w:cs="Georgia"/>
                <w:b/>
                <w:color w:val="FFFFFF" w:themeColor="background1"/>
                <w:sz w:val="20"/>
                <w:szCs w:val="20"/>
              </w:rPr>
              <w:t>3</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B065C3A"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3104">
              <w:rPr>
                <w:rFonts w:ascii="Cambria" w:hAnsi="Cambria"/>
                <w:b/>
                <w:bCs/>
                <w:sz w:val="20"/>
                <w:szCs w:val="20"/>
              </w:rPr>
              <w:t xml:space="preserve">PGCE </w:t>
            </w:r>
            <w:r w:rsidR="00A07F3C">
              <w:rPr>
                <w:rFonts w:ascii="Cambria" w:hAnsi="Cambria"/>
                <w:b/>
                <w:bCs/>
                <w:sz w:val="20"/>
                <w:szCs w:val="20"/>
              </w:rPr>
              <w:t>Secondary Geography</w:t>
            </w:r>
            <w:r w:rsidR="00B53104">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4A613CF6" w:rsidR="004009A7" w:rsidRPr="00523D39" w:rsidRDefault="0070030C">
            <w:pPr>
              <w:jc w:val="both"/>
              <w:rPr>
                <w:rFonts w:ascii="Cambria" w:hAnsi="Cambria"/>
                <w:b/>
                <w:bCs/>
                <w:sz w:val="20"/>
                <w:szCs w:val="20"/>
              </w:rPr>
            </w:pPr>
            <w:r>
              <w:rPr>
                <w:rFonts w:ascii="Cambria" w:hAnsi="Cambria"/>
                <w:b/>
                <w:bCs/>
                <w:sz w:val="20"/>
                <w:szCs w:val="20"/>
              </w:rPr>
              <w:t>20</w:t>
            </w:r>
            <w:r w:rsidR="009A58D4">
              <w:rPr>
                <w:rFonts w:ascii="Cambria" w:hAnsi="Cambria"/>
                <w:b/>
                <w:bCs/>
                <w:sz w:val="20"/>
                <w:szCs w:val="20"/>
              </w:rPr>
              <w:t>/11/23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9A58D4" w:rsidRDefault="001506CA" w:rsidP="005113AE">
            <w:pPr>
              <w:jc w:val="center"/>
              <w:rPr>
                <w:rFonts w:ascii="Cambria" w:hAnsi="Cambria"/>
                <w:b/>
                <w:bCs/>
                <w:sz w:val="20"/>
                <w:szCs w:val="20"/>
                <w:highlight w:val="yellow"/>
              </w:rPr>
            </w:pPr>
            <w:r w:rsidRPr="009A58D4">
              <w:rPr>
                <w:rFonts w:ascii="Cambria" w:hAnsi="Cambria"/>
                <w:b/>
                <w:bCs/>
                <w:sz w:val="20"/>
                <w:szCs w:val="20"/>
                <w:highlight w:val="yellow"/>
              </w:rPr>
              <w:t>M</w:t>
            </w:r>
            <w:r w:rsidR="005113AE" w:rsidRPr="009A58D4">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9A58D4" w:rsidRDefault="005113AE" w:rsidP="005113AE">
            <w:pPr>
              <w:jc w:val="center"/>
              <w:rPr>
                <w:rFonts w:ascii="Cambria" w:hAnsi="Cambria"/>
                <w:b/>
                <w:bCs/>
                <w:sz w:val="20"/>
                <w:szCs w:val="20"/>
                <w:highlight w:val="yellow"/>
              </w:rPr>
            </w:pPr>
            <w:r w:rsidRPr="009A58D4">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Default="00F45E23" w:rsidP="00BE47F7">
            <w:pPr>
              <w:pStyle w:val="paragraph"/>
              <w:spacing w:before="0" w:beforeAutospacing="0" w:after="0" w:afterAutospacing="0"/>
              <w:textAlignment w:val="baseline"/>
              <w:rPr>
                <w:rStyle w:val="eop"/>
                <w:rFonts w:ascii="Calibri" w:hAnsi="Calibri" w:cs="Calibri"/>
              </w:rPr>
            </w:pPr>
            <w:r w:rsidRPr="00523D39">
              <w:rPr>
                <w:rFonts w:ascii="Cambria" w:hAnsi="Cambria" w:cstheme="minorHAnsi"/>
                <w:b/>
                <w:bCs/>
                <w:sz w:val="20"/>
                <w:szCs w:val="20"/>
              </w:rPr>
              <w:t>Summary</w:t>
            </w:r>
            <w:r w:rsidR="00BE47F7">
              <w:rPr>
                <w:rStyle w:val="normaltextrun"/>
                <w:rFonts w:eastAsia="Calibri"/>
                <w:sz w:val="20"/>
                <w:szCs w:val="20"/>
                <w:shd w:val="clear" w:color="auto" w:fill="FFFFFF"/>
                <w:lang w:val="en-US"/>
              </w:rPr>
              <w:t xml:space="preserve"> </w:t>
            </w:r>
          </w:p>
          <w:p w14:paraId="059BD5F5" w14:textId="77777777" w:rsidR="00443725" w:rsidRPr="00443725" w:rsidRDefault="00443725" w:rsidP="00443725">
            <w:pPr>
              <w:pStyle w:val="NormalWeb"/>
              <w:shd w:val="clear" w:color="auto" w:fill="FFFFFF"/>
              <w:rPr>
                <w:rFonts w:ascii="Cambria" w:hAnsi="Cambria" w:cstheme="minorHAnsi"/>
                <w:b/>
                <w:bCs/>
                <w:sz w:val="20"/>
                <w:szCs w:val="20"/>
              </w:rPr>
            </w:pPr>
            <w:r w:rsidRPr="00443725">
              <w:rPr>
                <w:rFonts w:ascii="Cambria" w:hAnsi="Cambria" w:cstheme="minorHAnsi"/>
                <w:b/>
                <w:bCs/>
                <w:sz w:val="20"/>
                <w:szCs w:val="20"/>
              </w:rPr>
              <w:t>Wittwer and Renkl's (2010) research on instructional explanations involved 21 studies and 28 pairwise comparisons. The findings revealed minimal benefits overall and variability. Instructional explanations were more effective for imparting substantive knowledge than procedural knowledge and once again the findings were inconsistent across different domains. Surprisingly, the type of explanation and self-explanation prompts did not significantly affect effectiveness. The findings stressed that instructional explanations were complex and to be more impactful a more balanced approach is needed to suit the needs of learners in their particular context</w:t>
            </w:r>
          </w:p>
          <w:p w14:paraId="466BD392" w14:textId="77777777" w:rsidR="00443725" w:rsidRPr="00443725" w:rsidRDefault="00443725" w:rsidP="00443725">
            <w:pPr>
              <w:pStyle w:val="NormalWeb"/>
              <w:shd w:val="clear" w:color="auto" w:fill="FFFFFF"/>
              <w:rPr>
                <w:rFonts w:ascii="Cambria" w:hAnsi="Cambria" w:cstheme="minorHAnsi"/>
                <w:b/>
                <w:bCs/>
                <w:sz w:val="20"/>
                <w:szCs w:val="20"/>
              </w:rPr>
            </w:pPr>
          </w:p>
          <w:p w14:paraId="4BD322E7" w14:textId="77777777" w:rsidR="009A58D4" w:rsidRDefault="00443725" w:rsidP="00443725">
            <w:pPr>
              <w:pStyle w:val="NormalWeb"/>
              <w:shd w:val="clear" w:color="auto" w:fill="FFFFFF"/>
              <w:rPr>
                <w:rFonts w:ascii="Cambria" w:hAnsi="Cambria" w:cstheme="minorHAnsi"/>
                <w:b/>
                <w:bCs/>
                <w:sz w:val="20"/>
                <w:szCs w:val="20"/>
              </w:rPr>
            </w:pPr>
            <w:r w:rsidRPr="00443725">
              <w:rPr>
                <w:rFonts w:ascii="Cambria" w:hAnsi="Cambria" w:cstheme="minorHAnsi"/>
                <w:b/>
                <w:bCs/>
                <w:sz w:val="20"/>
                <w:szCs w:val="20"/>
              </w:rPr>
              <w:t>Limitations include substantial variation in effect sizes across domains. The focus on Maths and Science excludes subject-specific nuances; examining all key stages and subjects is recommended for a holistic analysis.</w:t>
            </w:r>
          </w:p>
          <w:p w14:paraId="7FB586EE" w14:textId="6BEA3B42" w:rsidR="00443725" w:rsidRDefault="00000000" w:rsidP="00443725">
            <w:pPr>
              <w:pStyle w:val="NormalWeb"/>
              <w:shd w:val="clear" w:color="auto" w:fill="FFFFFF"/>
              <w:rPr>
                <w:rFonts w:ascii="Cambria" w:hAnsi="Cambria" w:cstheme="minorHAnsi"/>
                <w:b/>
                <w:bCs/>
                <w:sz w:val="20"/>
                <w:szCs w:val="20"/>
              </w:rPr>
            </w:pPr>
            <w:hyperlink r:id="rId11" w:history="1">
              <w:r w:rsidR="00443725" w:rsidRPr="004F5A13">
                <w:rPr>
                  <w:rStyle w:val="Hyperlink"/>
                  <w:rFonts w:ascii="Cambria" w:hAnsi="Cambria" w:cstheme="minorHAnsi"/>
                  <w:b/>
                  <w:bCs/>
                  <w:sz w:val="20"/>
                  <w:szCs w:val="20"/>
                </w:rPr>
                <w:t>https://fusecontent.education.vic.gov.au/bd9b9586-fdc0-43af-aee7-eae87feb3fdc/wittwer_renkl_epr_2010.pdf</w:t>
              </w:r>
            </w:hyperlink>
          </w:p>
          <w:p w14:paraId="6071F449" w14:textId="31A07164" w:rsidR="00443725" w:rsidRPr="00523D39" w:rsidRDefault="00443725" w:rsidP="00443725">
            <w:pPr>
              <w:pStyle w:val="NormalWeb"/>
              <w:shd w:val="clear" w:color="auto" w:fill="FFFFFF"/>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46E36D1B" w14:textId="77777777" w:rsidR="00B5000E" w:rsidRDefault="00B5000E" w:rsidP="00C71C23">
            <w:pPr>
              <w:rPr>
                <w:rFonts w:ascii="Cambria" w:hAnsi="Cambria" w:cstheme="minorHAnsi"/>
                <w:b/>
                <w:bCs/>
                <w:sz w:val="20"/>
                <w:szCs w:val="20"/>
              </w:rPr>
            </w:pPr>
          </w:p>
          <w:p w14:paraId="552559EA" w14:textId="4C139903" w:rsidR="00C71C23" w:rsidRDefault="00C71C23" w:rsidP="00C71C23">
            <w:pPr>
              <w:rPr>
                <w:rFonts w:ascii="Cambria" w:hAnsi="Cambria" w:cstheme="minorHAnsi"/>
                <w:b/>
                <w:bCs/>
                <w:sz w:val="20"/>
                <w:szCs w:val="20"/>
              </w:rPr>
            </w:pPr>
            <w:r>
              <w:rPr>
                <w:rFonts w:ascii="Cambria" w:hAnsi="Cambria" w:cstheme="minorHAnsi"/>
                <w:b/>
                <w:bCs/>
                <w:sz w:val="20"/>
                <w:szCs w:val="20"/>
              </w:rPr>
              <w:t>The G.A. have a great guide to explanation and exposition</w:t>
            </w:r>
          </w:p>
          <w:p w14:paraId="4337E98A" w14:textId="2508465C" w:rsidR="00C71C23" w:rsidRDefault="00000000" w:rsidP="00C71C23">
            <w:pPr>
              <w:rPr>
                <w:rFonts w:ascii="Cambria" w:hAnsi="Cambria" w:cstheme="minorHAnsi"/>
                <w:b/>
                <w:bCs/>
                <w:sz w:val="20"/>
                <w:szCs w:val="20"/>
              </w:rPr>
            </w:pPr>
            <w:hyperlink r:id="rId13" w:history="1">
              <w:r w:rsidR="00C71C23" w:rsidRPr="003E67B9">
                <w:rPr>
                  <w:rStyle w:val="Hyperlink"/>
                  <w:rFonts w:ascii="Cambria" w:hAnsi="Cambria" w:cstheme="minorHAnsi"/>
                  <w:b/>
                  <w:bCs/>
                  <w:sz w:val="20"/>
                  <w:szCs w:val="20"/>
                </w:rPr>
                <w:t>https://geography.org.uk/ite/initial-teacher-education/geography-support-for-trainees-and-ects/learning-to-teach-secondary-geography/ite-trainees-classroom-practice/explicit-teaching/exposition-and-explaining/</w:t>
              </w:r>
            </w:hyperlink>
          </w:p>
          <w:p w14:paraId="5958B6C1" w14:textId="77777777" w:rsidR="00C71C23" w:rsidRDefault="00C71C23" w:rsidP="00C71C23">
            <w:pPr>
              <w:rPr>
                <w:rFonts w:ascii="Cambria" w:hAnsi="Cambria" w:cstheme="minorHAnsi"/>
                <w:b/>
                <w:bCs/>
                <w:sz w:val="20"/>
                <w:szCs w:val="20"/>
              </w:rPr>
            </w:pPr>
          </w:p>
          <w:p w14:paraId="09B8ED08" w14:textId="754D3B1D" w:rsidR="00C71C23" w:rsidRDefault="00C71C23" w:rsidP="00C71C23">
            <w:pPr>
              <w:rPr>
                <w:rFonts w:ascii="Cambria" w:hAnsi="Cambria" w:cstheme="minorHAnsi"/>
                <w:b/>
                <w:bCs/>
                <w:sz w:val="20"/>
                <w:szCs w:val="20"/>
              </w:rPr>
            </w:pPr>
            <w:r>
              <w:rPr>
                <w:rFonts w:ascii="Cambria" w:hAnsi="Cambria" w:cstheme="minorHAnsi"/>
                <w:b/>
                <w:bCs/>
                <w:sz w:val="20"/>
                <w:szCs w:val="20"/>
              </w:rPr>
              <w:t>Other useful documents for you to complete this WDS are:</w:t>
            </w:r>
          </w:p>
          <w:p w14:paraId="6FCBB1CC" w14:textId="77777777" w:rsidR="00C71C23" w:rsidRDefault="00C71C23" w:rsidP="00C71C23">
            <w:pPr>
              <w:rPr>
                <w:rFonts w:ascii="Cambria" w:hAnsi="Cambria" w:cstheme="minorHAnsi"/>
                <w:b/>
                <w:bCs/>
                <w:sz w:val="20"/>
                <w:szCs w:val="20"/>
              </w:rPr>
            </w:pPr>
          </w:p>
          <w:p w14:paraId="146FA95F" w14:textId="77777777" w:rsidR="00C71C23" w:rsidRPr="00C71C23" w:rsidRDefault="00C71C23" w:rsidP="00C71C23">
            <w:pPr>
              <w:rPr>
                <w:rFonts w:ascii="Georgia" w:hAnsi="Georgia"/>
                <w:color w:val="1155CC"/>
                <w:sz w:val="24"/>
                <w:szCs w:val="24"/>
                <w:bdr w:val="none" w:sz="0" w:space="0" w:color="auto" w:frame="1"/>
              </w:rPr>
            </w:pPr>
            <w:r w:rsidRPr="00C71C23">
              <w:rPr>
                <w:rFonts w:ascii="Georgia" w:hAnsi="Georgia"/>
                <w:b/>
                <w:bCs/>
                <w:sz w:val="24"/>
                <w:szCs w:val="24"/>
                <w:bdr w:val="none" w:sz="0" w:space="0" w:color="auto" w:frame="1"/>
              </w:rPr>
              <w:t>Geography curriculum handbook</w:t>
            </w:r>
            <w:r w:rsidRPr="00C71C23">
              <w:rPr>
                <w:rFonts w:ascii="Georgia" w:hAnsi="Georgia"/>
                <w:sz w:val="24"/>
                <w:szCs w:val="24"/>
                <w:bdr w:val="none" w:sz="0" w:space="0" w:color="auto" w:frame="1"/>
              </w:rPr>
              <w:t>:  </w:t>
            </w:r>
            <w:hyperlink r:id="rId14" w:tgtFrame="_blank" w:history="1">
              <w:r w:rsidRPr="00C71C23">
                <w:rPr>
                  <w:rFonts w:ascii="Georgia" w:hAnsi="Georgia"/>
                  <w:color w:val="0000FF"/>
                  <w:sz w:val="24"/>
                  <w:szCs w:val="24"/>
                  <w:u w:val="single"/>
                  <w:bdr w:val="none" w:sz="0" w:space="0" w:color="auto" w:frame="1"/>
                </w:rPr>
                <w:t>Link here</w:t>
              </w:r>
            </w:hyperlink>
          </w:p>
          <w:p w14:paraId="20C51F65" w14:textId="77777777" w:rsidR="00C71C23" w:rsidRPr="00C71C23" w:rsidRDefault="00C71C23" w:rsidP="00C71C23">
            <w:pPr>
              <w:shd w:val="clear" w:color="auto" w:fill="FFFFFF"/>
              <w:rPr>
                <w:rFonts w:ascii="Georgia" w:eastAsia="Times New Roman" w:hAnsi="Georgia" w:cs="Segoe UI"/>
                <w:color w:val="1155CC"/>
                <w:sz w:val="24"/>
                <w:szCs w:val="24"/>
                <w:bdr w:val="none" w:sz="0" w:space="0" w:color="auto" w:frame="1"/>
              </w:rPr>
            </w:pPr>
            <w:r w:rsidRPr="00C71C23">
              <w:rPr>
                <w:rFonts w:ascii="Georgia" w:eastAsia="Times New Roman" w:hAnsi="Georgia" w:cs="Segoe UI"/>
                <w:b/>
                <w:bCs/>
                <w:sz w:val="24"/>
                <w:szCs w:val="24"/>
                <w:bdr w:val="none" w:sz="0" w:space="0" w:color="auto" w:frame="1"/>
              </w:rPr>
              <w:t>How to complete WDS</w:t>
            </w:r>
            <w:r w:rsidRPr="00C71C23">
              <w:rPr>
                <w:rFonts w:ascii="Georgia" w:eastAsia="Times New Roman" w:hAnsi="Georgia" w:cs="Segoe UI"/>
                <w:sz w:val="24"/>
                <w:szCs w:val="24"/>
                <w:bdr w:val="none" w:sz="0" w:space="0" w:color="auto" w:frame="1"/>
              </w:rPr>
              <w:t xml:space="preserve">  </w:t>
            </w:r>
            <w:hyperlink r:id="rId15" w:tgtFrame="_blank" w:history="1">
              <w:r w:rsidRPr="00C71C23">
                <w:rPr>
                  <w:rFonts w:ascii="Georgia" w:eastAsia="Times New Roman" w:hAnsi="Georgia" w:cs="Segoe UI"/>
                  <w:color w:val="0000FF"/>
                  <w:sz w:val="24"/>
                  <w:szCs w:val="24"/>
                  <w:u w:val="single"/>
                  <w:bdr w:val="none" w:sz="0" w:space="0" w:color="auto" w:frame="1"/>
                </w:rPr>
                <w:t>Link here</w:t>
              </w:r>
            </w:hyperlink>
          </w:p>
          <w:p w14:paraId="48BA0987" w14:textId="49DAB9D1" w:rsidR="00C71C23" w:rsidRPr="00C71C23" w:rsidRDefault="00C71C23" w:rsidP="00C71C23">
            <w:pPr>
              <w:shd w:val="clear" w:color="auto" w:fill="FFFFFF"/>
              <w:rPr>
                <w:rFonts w:ascii="Georgia" w:eastAsia="Times New Roman" w:hAnsi="Georgia" w:cs="Segoe UI"/>
                <w:color w:val="1155CC"/>
                <w:sz w:val="24"/>
                <w:szCs w:val="24"/>
                <w:bdr w:val="none" w:sz="0" w:space="0" w:color="auto" w:frame="1"/>
              </w:rPr>
            </w:pPr>
            <w:r w:rsidRPr="00C71C23">
              <w:rPr>
                <w:rFonts w:ascii="Georgia" w:eastAsia="Times New Roman" w:hAnsi="Georgia" w:cs="Segoe UI"/>
                <w:b/>
                <w:bCs/>
                <w:sz w:val="24"/>
                <w:szCs w:val="24"/>
                <w:bdr w:val="none" w:sz="0" w:space="0" w:color="auto" w:frame="1"/>
              </w:rPr>
              <w:t>Exemplar WDS</w:t>
            </w:r>
            <w:r w:rsidRPr="00C71C23">
              <w:rPr>
                <w:rFonts w:ascii="Georgia" w:eastAsia="Times New Roman" w:hAnsi="Georgia" w:cs="Segoe UI"/>
                <w:sz w:val="24"/>
                <w:szCs w:val="24"/>
                <w:bdr w:val="none" w:sz="0" w:space="0" w:color="auto" w:frame="1"/>
              </w:rPr>
              <w:t>    </w:t>
            </w:r>
            <w:hyperlink r:id="rId16" w:tgtFrame="_blank" w:history="1">
              <w:r w:rsidRPr="00C71C23">
                <w:rPr>
                  <w:rFonts w:ascii="Georgia" w:eastAsia="Times New Roman" w:hAnsi="Georgia" w:cs="Segoe UI"/>
                  <w:color w:val="0000FF"/>
                  <w:sz w:val="24"/>
                  <w:szCs w:val="24"/>
                  <w:u w:val="single"/>
                  <w:bdr w:val="none" w:sz="0" w:space="0" w:color="auto" w:frame="1"/>
                </w:rPr>
                <w:t>Link here</w:t>
              </w:r>
            </w:hyperlink>
          </w:p>
          <w:p w14:paraId="325DE0B6" w14:textId="5C546656" w:rsidR="00C71C23" w:rsidRPr="00C71C23" w:rsidRDefault="00C71C23" w:rsidP="00C71C23">
            <w:pPr>
              <w:shd w:val="clear" w:color="auto" w:fill="FFFFFF"/>
              <w:rPr>
                <w:rFonts w:ascii="Georgia" w:eastAsia="Times New Roman" w:hAnsi="Georgia" w:cs="Segoe UI"/>
                <w:sz w:val="24"/>
                <w:szCs w:val="24"/>
                <w:bdr w:val="none" w:sz="0" w:space="0" w:color="auto" w:frame="1"/>
              </w:rPr>
            </w:pPr>
            <w:r w:rsidRPr="00C71C23">
              <w:rPr>
                <w:rFonts w:ascii="Georgia" w:eastAsia="Times New Roman" w:hAnsi="Georgia" w:cs="Segoe UI"/>
                <w:b/>
                <w:bCs/>
                <w:sz w:val="24"/>
                <w:szCs w:val="24"/>
                <w:bdr w:val="none" w:sz="0" w:space="0" w:color="auto" w:frame="1"/>
              </w:rPr>
              <w:t>Geography</w:t>
            </w:r>
            <w:r w:rsidR="00D74150">
              <w:rPr>
                <w:rFonts w:ascii="Georgia" w:eastAsia="Times New Roman" w:hAnsi="Georgia" w:cs="Segoe UI"/>
                <w:b/>
                <w:bCs/>
                <w:sz w:val="24"/>
                <w:szCs w:val="24"/>
                <w:bdr w:val="none" w:sz="0" w:space="0" w:color="auto" w:frame="1"/>
              </w:rPr>
              <w:t xml:space="preserve"> specific targets for the WDS</w:t>
            </w:r>
            <w:r w:rsidRPr="00C71C23">
              <w:rPr>
                <w:rFonts w:ascii="Georgia" w:eastAsia="Times New Roman" w:hAnsi="Georgia" w:cs="Segoe UI"/>
                <w:sz w:val="24"/>
                <w:szCs w:val="24"/>
                <w:bdr w:val="none" w:sz="0" w:space="0" w:color="auto" w:frame="1"/>
              </w:rPr>
              <w:t xml:space="preserve">:  </w:t>
            </w:r>
            <w:hyperlink r:id="rId17" w:history="1">
              <w:r w:rsidRPr="0070030C">
                <w:rPr>
                  <w:rStyle w:val="Hyperlink"/>
                  <w:rFonts w:ascii="Georgia" w:eastAsia="Times New Roman" w:hAnsi="Georgia" w:cs="Segoe UI"/>
                  <w:color w:val="0070C0"/>
                  <w:sz w:val="24"/>
                  <w:szCs w:val="24"/>
                  <w:bdr w:val="none" w:sz="0" w:space="0" w:color="auto" w:frame="1"/>
                </w:rPr>
                <w:t>Link here</w:t>
              </w:r>
            </w:hyperlink>
          </w:p>
          <w:p w14:paraId="369CCBB1" w14:textId="77777777" w:rsidR="00C71C23" w:rsidRDefault="00C71C23" w:rsidP="00C71C23">
            <w:pPr>
              <w:shd w:val="clear" w:color="auto" w:fill="FFFFFF"/>
              <w:rPr>
                <w:rFonts w:ascii="Georgia" w:eastAsia="Times New Roman" w:hAnsi="Georgia" w:cs="Segoe UI"/>
                <w:sz w:val="24"/>
                <w:szCs w:val="24"/>
                <w:bdr w:val="none" w:sz="0" w:space="0" w:color="auto" w:frame="1"/>
              </w:rPr>
            </w:pPr>
          </w:p>
          <w:p w14:paraId="454398B9" w14:textId="77777777" w:rsidR="00C71C23" w:rsidRPr="00C71C23" w:rsidRDefault="00C71C23" w:rsidP="00C71C23">
            <w:pPr>
              <w:shd w:val="clear" w:color="auto" w:fill="FFFFFF"/>
              <w:rPr>
                <w:rFonts w:ascii="Georgia" w:eastAsia="Times New Roman" w:hAnsi="Georgia" w:cs="Segoe UI"/>
                <w:color w:val="1155CC"/>
                <w:sz w:val="24"/>
                <w:szCs w:val="24"/>
                <w:bdr w:val="none" w:sz="0" w:space="0" w:color="auto" w:frame="1"/>
              </w:rPr>
            </w:pPr>
          </w:p>
          <w:p w14:paraId="02295E43" w14:textId="5BA9D25C" w:rsidR="00C71C23" w:rsidRPr="00523D39" w:rsidRDefault="00C71C23" w:rsidP="00C71C23">
            <w:pPr>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8"/>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11ED5897" w:rsidR="00403E3F" w:rsidRPr="00523D39" w:rsidRDefault="00403E3F" w:rsidP="00403E3F">
            <w:pPr>
              <w:jc w:val="center"/>
              <w:rPr>
                <w:rFonts w:ascii="Cambria" w:hAnsi="Cambria"/>
                <w:b/>
                <w:bCs/>
                <w:sz w:val="20"/>
                <w:szCs w:val="20"/>
              </w:rPr>
            </w:pPr>
            <w:r w:rsidRPr="00523D39">
              <w:rPr>
                <w:rFonts w:ascii="Cambria" w:hAnsi="Cambria"/>
                <w:b/>
                <w:bCs/>
                <w:sz w:val="20"/>
                <w:szCs w:val="20"/>
              </w:rPr>
              <w:t>Y</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C1364C2" w14:textId="77777777" w:rsidR="00A255FC" w:rsidRPr="00A255FC" w:rsidRDefault="009A58D4" w:rsidP="00A255FC">
            <w:pPr>
              <w:autoSpaceDE w:val="0"/>
              <w:autoSpaceDN w:val="0"/>
              <w:ind w:left="720"/>
              <w:rPr>
                <w:rFonts w:cs="Times New Roman"/>
                <w:color w:val="auto"/>
                <w:sz w:val="20"/>
                <w:szCs w:val="20"/>
                <w:lang w:val="en-US" w:eastAsia="en-US"/>
              </w:rPr>
            </w:pPr>
            <w:r w:rsidRPr="009A58D4">
              <w:rPr>
                <w:rFonts w:cs="Times New Roman"/>
                <w:color w:val="auto"/>
                <w:sz w:val="20"/>
                <w:szCs w:val="20"/>
                <w:lang w:val="en-US" w:eastAsia="en-US"/>
              </w:rPr>
              <w:t>●</w:t>
            </w:r>
            <w:r w:rsidR="00A255FC" w:rsidRPr="00A255FC">
              <w:rPr>
                <w:rFonts w:cs="Times New Roman"/>
                <w:color w:val="auto"/>
                <w:sz w:val="20"/>
                <w:szCs w:val="20"/>
                <w:lang w:val="en-US" w:eastAsia="en-US"/>
              </w:rPr>
              <w:t>Modelling helps pupils</w:t>
            </w:r>
          </w:p>
          <w:p w14:paraId="2F0D2318" w14:textId="77777777" w:rsidR="00A255FC" w:rsidRPr="00A255FC" w:rsidRDefault="00A255FC" w:rsidP="00A255FC">
            <w:pPr>
              <w:autoSpaceDE w:val="0"/>
              <w:autoSpaceDN w:val="0"/>
              <w:ind w:left="720"/>
              <w:rPr>
                <w:rFonts w:cs="Times New Roman"/>
                <w:color w:val="auto"/>
                <w:sz w:val="20"/>
                <w:szCs w:val="20"/>
                <w:lang w:val="en-US" w:eastAsia="en-US"/>
              </w:rPr>
            </w:pPr>
            <w:r w:rsidRPr="00A255FC">
              <w:rPr>
                <w:rFonts w:cs="Times New Roman"/>
                <w:color w:val="auto"/>
                <w:sz w:val="20"/>
                <w:szCs w:val="20"/>
                <w:lang w:val="en-US" w:eastAsia="en-US"/>
              </w:rPr>
              <w:t>understand new</w:t>
            </w:r>
          </w:p>
          <w:p w14:paraId="26082789" w14:textId="77777777" w:rsidR="00A255FC" w:rsidRPr="00A255FC" w:rsidRDefault="00A255FC" w:rsidP="00A255FC">
            <w:pPr>
              <w:autoSpaceDE w:val="0"/>
              <w:autoSpaceDN w:val="0"/>
              <w:ind w:left="720"/>
              <w:rPr>
                <w:rFonts w:cs="Times New Roman"/>
                <w:color w:val="auto"/>
                <w:sz w:val="20"/>
                <w:szCs w:val="20"/>
                <w:lang w:val="en-US" w:eastAsia="en-US"/>
              </w:rPr>
            </w:pPr>
            <w:r w:rsidRPr="00A255FC">
              <w:rPr>
                <w:rFonts w:cs="Times New Roman"/>
                <w:color w:val="auto"/>
                <w:sz w:val="20"/>
                <w:szCs w:val="20"/>
                <w:lang w:val="en-US" w:eastAsia="en-US"/>
              </w:rPr>
              <w:t>processes and ideas;</w:t>
            </w:r>
          </w:p>
          <w:p w14:paraId="21E1881D" w14:textId="77777777" w:rsidR="00A255FC" w:rsidRPr="00A255FC" w:rsidRDefault="00A255FC" w:rsidP="00A255FC">
            <w:pPr>
              <w:autoSpaceDE w:val="0"/>
              <w:autoSpaceDN w:val="0"/>
              <w:ind w:left="720"/>
              <w:rPr>
                <w:rFonts w:cs="Times New Roman"/>
                <w:color w:val="auto"/>
                <w:sz w:val="20"/>
                <w:szCs w:val="20"/>
                <w:lang w:val="en-US" w:eastAsia="en-US"/>
              </w:rPr>
            </w:pPr>
            <w:r w:rsidRPr="00A255FC">
              <w:rPr>
                <w:rFonts w:cs="Times New Roman"/>
                <w:color w:val="auto"/>
                <w:sz w:val="20"/>
                <w:szCs w:val="20"/>
                <w:lang w:val="en-US" w:eastAsia="en-US"/>
              </w:rPr>
              <w:t>good models make</w:t>
            </w:r>
          </w:p>
          <w:p w14:paraId="642F961A" w14:textId="77777777" w:rsidR="00A255FC" w:rsidRPr="00A255FC" w:rsidRDefault="00A255FC" w:rsidP="00A255FC">
            <w:pPr>
              <w:autoSpaceDE w:val="0"/>
              <w:autoSpaceDN w:val="0"/>
              <w:ind w:left="720"/>
              <w:rPr>
                <w:rFonts w:cs="Times New Roman"/>
                <w:color w:val="auto"/>
                <w:sz w:val="20"/>
                <w:szCs w:val="20"/>
                <w:lang w:val="en-US" w:eastAsia="en-US"/>
              </w:rPr>
            </w:pPr>
            <w:r w:rsidRPr="00A255FC">
              <w:rPr>
                <w:rFonts w:cs="Times New Roman"/>
                <w:color w:val="auto"/>
                <w:sz w:val="20"/>
                <w:szCs w:val="20"/>
                <w:lang w:val="en-US" w:eastAsia="en-US"/>
              </w:rPr>
              <w:t>abstract ideas</w:t>
            </w:r>
          </w:p>
          <w:p w14:paraId="109E4DEC" w14:textId="77777777" w:rsidR="00A255FC" w:rsidRPr="00A255FC" w:rsidRDefault="00A255FC" w:rsidP="00A255FC">
            <w:pPr>
              <w:autoSpaceDE w:val="0"/>
              <w:autoSpaceDN w:val="0"/>
              <w:ind w:left="720"/>
              <w:rPr>
                <w:rFonts w:cs="Times New Roman"/>
                <w:color w:val="auto"/>
                <w:sz w:val="20"/>
                <w:szCs w:val="20"/>
                <w:lang w:val="en-US" w:eastAsia="en-US"/>
              </w:rPr>
            </w:pPr>
            <w:r w:rsidRPr="00A255FC">
              <w:rPr>
                <w:rFonts w:cs="Times New Roman"/>
                <w:color w:val="auto"/>
                <w:sz w:val="20"/>
                <w:szCs w:val="20"/>
                <w:lang w:val="en-US" w:eastAsia="en-US"/>
              </w:rPr>
              <w:t>accessible, for example</w:t>
            </w:r>
          </w:p>
          <w:p w14:paraId="24200E7C" w14:textId="77777777" w:rsidR="00A255FC" w:rsidRPr="00A255FC" w:rsidRDefault="00A255FC" w:rsidP="00A255FC">
            <w:pPr>
              <w:autoSpaceDE w:val="0"/>
              <w:autoSpaceDN w:val="0"/>
              <w:ind w:left="720"/>
              <w:rPr>
                <w:rFonts w:cs="Times New Roman"/>
                <w:color w:val="auto"/>
                <w:sz w:val="20"/>
                <w:szCs w:val="20"/>
                <w:lang w:val="en-US" w:eastAsia="en-US"/>
              </w:rPr>
            </w:pPr>
            <w:r w:rsidRPr="00A255FC">
              <w:rPr>
                <w:rFonts w:cs="Times New Roman"/>
                <w:color w:val="auto"/>
                <w:sz w:val="20"/>
                <w:szCs w:val="20"/>
                <w:lang w:val="en-US" w:eastAsia="en-US"/>
              </w:rPr>
              <w:t>global atmospheric</w:t>
            </w:r>
          </w:p>
          <w:p w14:paraId="7CD863EA" w14:textId="77777777" w:rsidR="00A255FC" w:rsidRPr="00A255FC" w:rsidRDefault="00A255FC" w:rsidP="00A255FC">
            <w:pPr>
              <w:autoSpaceDE w:val="0"/>
              <w:autoSpaceDN w:val="0"/>
              <w:ind w:left="720"/>
              <w:rPr>
                <w:rFonts w:cs="Times New Roman"/>
                <w:color w:val="auto"/>
                <w:sz w:val="20"/>
                <w:szCs w:val="20"/>
                <w:lang w:val="en-US" w:eastAsia="en-US"/>
              </w:rPr>
            </w:pPr>
            <w:r w:rsidRPr="00A255FC">
              <w:rPr>
                <w:rFonts w:cs="Times New Roman"/>
                <w:color w:val="auto"/>
                <w:sz w:val="20"/>
                <w:szCs w:val="20"/>
                <w:lang w:val="en-US" w:eastAsia="en-US"/>
              </w:rPr>
              <w:t>circulation of glacial</w:t>
            </w:r>
          </w:p>
          <w:p w14:paraId="4E488AE5" w14:textId="147E030B" w:rsidR="00CB44DE" w:rsidRPr="00523D39" w:rsidRDefault="00A255FC" w:rsidP="00A255FC">
            <w:pPr>
              <w:rPr>
                <w:rFonts w:ascii="Cambria" w:hAnsi="Cambria"/>
                <w:b/>
                <w:bCs/>
                <w:sz w:val="20"/>
                <w:szCs w:val="20"/>
                <w:shd w:val="clear" w:color="auto" w:fill="FFFFFF"/>
              </w:rPr>
            </w:pPr>
            <w:r w:rsidRPr="00A255FC">
              <w:rPr>
                <w:rFonts w:cs="Times New Roman"/>
                <w:color w:val="auto"/>
                <w:sz w:val="20"/>
                <w:szCs w:val="20"/>
                <w:lang w:val="en-US" w:eastAsia="en-US"/>
              </w:rPr>
              <w:t>processes.</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29F89338" w:rsidR="00CB44DE" w:rsidRPr="00523D39" w:rsidRDefault="00CB44DE" w:rsidP="003324D5">
            <w:pPr>
              <w:jc w:val="center"/>
              <w:rPr>
                <w:rFonts w:ascii="Cambria" w:hAnsi="Cambria"/>
                <w:b/>
                <w:bCs/>
                <w:sz w:val="20"/>
                <w:szCs w:val="20"/>
              </w:rPr>
            </w:pPr>
            <w:r w:rsidRPr="00523D39">
              <w:rPr>
                <w:rFonts w:ascii="Cambria" w:hAnsi="Cambria"/>
                <w:b/>
                <w:bCs/>
                <w:sz w:val="20"/>
                <w:szCs w:val="20"/>
              </w:rPr>
              <w:t>Y</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F46C933" w14:textId="77777777" w:rsidR="00A255FC" w:rsidRDefault="00A255FC" w:rsidP="009A58D4">
            <w:pPr>
              <w:widowControl w:val="0"/>
              <w:pBdr>
                <w:top w:val="nil"/>
                <w:left w:val="nil"/>
                <w:bottom w:val="nil"/>
                <w:right w:val="nil"/>
                <w:between w:val="nil"/>
              </w:pBdr>
              <w:autoSpaceDE w:val="0"/>
              <w:autoSpaceDN w:val="0"/>
              <w:ind w:left="720"/>
            </w:pPr>
            <w:r>
              <w:t>Exemplify modelling, explanations and scaffolds, acknowledging that novices need more structure early in a domain.</w:t>
            </w:r>
          </w:p>
          <w:p w14:paraId="3437E904" w14:textId="78A2F966" w:rsidR="005B3129" w:rsidRPr="00523D39" w:rsidRDefault="00A255FC" w:rsidP="009A58D4">
            <w:pPr>
              <w:widowControl w:val="0"/>
              <w:pBdr>
                <w:top w:val="nil"/>
                <w:left w:val="nil"/>
                <w:bottom w:val="nil"/>
                <w:right w:val="nil"/>
                <w:between w:val="nil"/>
              </w:pBdr>
              <w:autoSpaceDE w:val="0"/>
              <w:autoSpaceDN w:val="0"/>
              <w:ind w:left="720"/>
              <w:rPr>
                <w:rFonts w:ascii="Cambria" w:hAnsi="Cambria"/>
                <w:b/>
                <w:bCs/>
                <w:sz w:val="20"/>
                <w:szCs w:val="20"/>
              </w:rPr>
            </w:pPr>
            <w:r>
              <w:t xml:space="preserve"> ● Enable critical thinking and problem solving by first teaching the necessary foundational content knowledge. </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9"/>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261A568C" w14:textId="77777777" w:rsidR="00A255FC" w:rsidRDefault="00A255FC" w:rsidP="00B5000E">
            <w:pPr>
              <w:pBdr>
                <w:top w:val="nil"/>
                <w:left w:val="nil"/>
                <w:bottom w:val="nil"/>
                <w:right w:val="nil"/>
                <w:between w:val="nil"/>
              </w:pBdr>
              <w:ind w:left="720"/>
              <w:jc w:val="both"/>
            </w:pPr>
            <w:r>
              <w:t xml:space="preserve">1.Use the focus of discussions from mentor meetings, targets, lesson observation feedback and task to reflect on areas of focus and development. </w:t>
            </w:r>
          </w:p>
          <w:p w14:paraId="7E88D790" w14:textId="2EA41B3F" w:rsidR="00A255FC" w:rsidRPr="00A255FC" w:rsidRDefault="00A255FC" w:rsidP="00A255FC">
            <w:pPr>
              <w:pBdr>
                <w:top w:val="nil"/>
                <w:left w:val="nil"/>
                <w:bottom w:val="nil"/>
                <w:right w:val="nil"/>
                <w:between w:val="nil"/>
              </w:pBdr>
              <w:jc w:val="both"/>
              <w:rPr>
                <w:b/>
                <w:bCs/>
              </w:rPr>
            </w:pPr>
            <w:r w:rsidRPr="00A255FC">
              <w:rPr>
                <w:b/>
                <w:bCs/>
              </w:rPr>
              <w:t>Mentor summary of trainee response</w:t>
            </w:r>
          </w:p>
          <w:p w14:paraId="61727118" w14:textId="77777777" w:rsidR="00A255FC" w:rsidRDefault="00A255FC" w:rsidP="00B5000E">
            <w:pPr>
              <w:pBdr>
                <w:top w:val="nil"/>
                <w:left w:val="nil"/>
                <w:bottom w:val="nil"/>
                <w:right w:val="nil"/>
                <w:between w:val="nil"/>
              </w:pBdr>
              <w:ind w:left="720"/>
              <w:jc w:val="both"/>
            </w:pPr>
          </w:p>
          <w:p w14:paraId="52369B8A" w14:textId="62C2ACF7" w:rsidR="00B5000E" w:rsidRPr="008E6A2B" w:rsidRDefault="00A255FC" w:rsidP="00B5000E">
            <w:pPr>
              <w:pBdr>
                <w:top w:val="nil"/>
                <w:left w:val="nil"/>
                <w:bottom w:val="nil"/>
                <w:right w:val="nil"/>
                <w:between w:val="nil"/>
              </w:pBdr>
              <w:ind w:left="720"/>
              <w:jc w:val="both"/>
              <w:rPr>
                <w:rFonts w:asciiTheme="minorHAnsi" w:hAnsiTheme="minorHAnsi" w:cstheme="minorHAnsi"/>
                <w:b/>
                <w:bCs/>
                <w:sz w:val="20"/>
                <w:szCs w:val="20"/>
              </w:rPr>
            </w:pPr>
            <w:r>
              <w:t>2. Explore and reflect on how modelling and scaffolding is implemented in your setting.</w:t>
            </w:r>
          </w:p>
          <w:p w14:paraId="11852BB5" w14:textId="5858FAA0" w:rsidR="008B1D2B" w:rsidRPr="00A255FC" w:rsidRDefault="000C555B" w:rsidP="000C555B">
            <w:pPr>
              <w:pBdr>
                <w:top w:val="nil"/>
                <w:left w:val="nil"/>
                <w:bottom w:val="nil"/>
                <w:right w:val="nil"/>
                <w:between w:val="nil"/>
              </w:pBdr>
              <w:jc w:val="both"/>
              <w:rPr>
                <w:rFonts w:asciiTheme="minorHAnsi" w:hAnsiTheme="minorHAnsi" w:cstheme="minorHAnsi"/>
                <w:b/>
                <w:bCs/>
                <w:sz w:val="20"/>
                <w:szCs w:val="20"/>
              </w:rPr>
            </w:pPr>
            <w:r w:rsidRPr="00A255FC">
              <w:rPr>
                <w:rFonts w:asciiTheme="minorHAnsi" w:hAnsiTheme="minorHAnsi" w:cstheme="minorHAnsi"/>
                <w:b/>
                <w:bCs/>
              </w:rPr>
              <w:t>Mentor summary of trainee response</w:t>
            </w: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033A2A4D" w14:textId="1C9AE883" w:rsidR="00B5000E" w:rsidRPr="00523D39" w:rsidRDefault="00B5000E" w:rsidP="00DC48DA">
            <w:pPr>
              <w:rPr>
                <w:rFonts w:ascii="Cambria" w:hAnsi="Cambria"/>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32F19983"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543A61B1" w:rsidR="00581390" w:rsidRPr="00D9275F" w:rsidRDefault="009A58D4" w:rsidP="00D9275F">
            <w:pPr>
              <w:jc w:val="center"/>
              <w:rPr>
                <w:rFonts w:ascii="Cambria" w:hAnsi="Cambria"/>
                <w:b/>
                <w:bCs/>
                <w:sz w:val="20"/>
                <w:szCs w:val="20"/>
              </w:rPr>
            </w:pPr>
            <w:r>
              <w:rPr>
                <w:rFonts w:ascii="Cambria" w:hAnsi="Cambria"/>
                <w:b/>
                <w:bCs/>
                <w:sz w:val="20"/>
                <w:szCs w:val="20"/>
              </w:rPr>
              <w:t>Y</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5038B1AA" w:rsidR="00FB38FA" w:rsidRPr="00523D39" w:rsidRDefault="00D74150" w:rsidP="00D74150">
            <w:pPr>
              <w:pStyle w:val="xmsolistparagraph"/>
              <w:numPr>
                <w:ilvl w:val="0"/>
                <w:numId w:val="11"/>
              </w:numPr>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 </w:t>
            </w:r>
            <w:r w:rsidRPr="00D74150">
              <w:rPr>
                <w:rFonts w:ascii="Cambria" w:hAnsi="Cambria" w:cs="Calibri"/>
                <w:b/>
                <w:bCs/>
                <w:color w:val="FF0000"/>
                <w:sz w:val="20"/>
                <w:szCs w:val="20"/>
              </w:rPr>
              <w:t xml:space="preserve">Use the </w:t>
            </w:r>
            <w:r>
              <w:rPr>
                <w:rFonts w:ascii="Cambria" w:hAnsi="Cambria" w:cs="Calibri"/>
                <w:b/>
                <w:bCs/>
                <w:color w:val="FF0000"/>
                <w:sz w:val="20"/>
                <w:szCs w:val="20"/>
              </w:rPr>
              <w:t xml:space="preserve">geography specific targets </w:t>
            </w:r>
            <w:hyperlink r:id="rId23" w:history="1">
              <w:r w:rsidRPr="0070030C">
                <w:rPr>
                  <w:rStyle w:val="Hyperlink"/>
                  <w:rFonts w:ascii="Georgia" w:hAnsi="Georgia" w:cs="Segoe UI"/>
                  <w:color w:val="0070C0"/>
                  <w:bdr w:val="none" w:sz="0" w:space="0" w:color="auto" w:frame="1"/>
                </w:rPr>
                <w:t>Link here</w:t>
              </w:r>
            </w:hyperlink>
            <w:r>
              <w:rPr>
                <w:rFonts w:ascii="Cambria" w:hAnsi="Cambria" w:cs="Calibri"/>
                <w:b/>
                <w:bCs/>
                <w:color w:val="FF0000"/>
                <w:sz w:val="20"/>
                <w:szCs w:val="20"/>
              </w:rPr>
              <w:t xml:space="preserve">if required and the geography </w:t>
            </w:r>
            <w:r>
              <w:rPr>
                <w:rFonts w:ascii="Cambria" w:hAnsi="Cambria" w:cs="Calibri"/>
                <w:b/>
                <w:bCs/>
                <w:color w:val="FF0000"/>
                <w:sz w:val="20"/>
                <w:szCs w:val="20"/>
              </w:rPr>
              <w:lastRenderedPageBreak/>
              <w:t xml:space="preserve">curriculum for next week </w:t>
            </w:r>
            <w:hyperlink r:id="rId24" w:tgtFrame="_blank" w:history="1">
              <w:r w:rsidRPr="00C71C23">
                <w:rPr>
                  <w:rFonts w:ascii="Georgia" w:hAnsi="Georgia"/>
                  <w:color w:val="0000FF"/>
                  <w:u w:val="single"/>
                  <w:bdr w:val="none" w:sz="0" w:space="0" w:color="auto" w:frame="1"/>
                </w:rPr>
                <w:t>Link here</w:t>
              </w:r>
            </w:hyperlink>
            <w:r>
              <w:rPr>
                <w:rFonts w:ascii="Georgia" w:hAnsi="Georgia"/>
                <w:color w:val="0000FF"/>
                <w:u w:val="single"/>
                <w:bdr w:val="none" w:sz="0" w:space="0" w:color="auto" w:frame="1"/>
              </w:rPr>
              <w:t xml:space="preserve"> </w:t>
            </w:r>
            <w:r w:rsidRPr="00D74150">
              <w:rPr>
                <w:rFonts w:ascii="Cambria" w:hAnsi="Cambria" w:cstheme="minorHAnsi"/>
                <w:b/>
                <w:bCs/>
                <w:color w:val="FF0000"/>
                <w:sz w:val="20"/>
                <w:szCs w:val="20"/>
                <w:bdr w:val="none" w:sz="0" w:space="0" w:color="auto" w:frame="1"/>
              </w:rPr>
              <w:t>to help set targets</w:t>
            </w:r>
            <w:r>
              <w:rPr>
                <w:rFonts w:ascii="Cambria" w:hAnsi="Cambria" w:cstheme="minorHAnsi"/>
                <w:b/>
                <w:bCs/>
                <w:color w:val="FF0000"/>
                <w:sz w:val="20"/>
                <w:szCs w:val="20"/>
                <w:bdr w:val="none" w:sz="0" w:space="0" w:color="auto" w:frame="1"/>
              </w:rPr>
              <w:t xml:space="preserve"> ( PLEASE DELETE THIS)</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7AB5985A"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9A58D4">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5"/>
      <w:footerReference w:type="default" r:id="rId2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8CA4" w14:textId="77777777" w:rsidR="007E0689" w:rsidRDefault="007E0689" w:rsidP="00BB0205">
      <w:pPr>
        <w:spacing w:after="0" w:line="240" w:lineRule="auto"/>
      </w:pPr>
      <w:r>
        <w:separator/>
      </w:r>
    </w:p>
  </w:endnote>
  <w:endnote w:type="continuationSeparator" w:id="0">
    <w:p w14:paraId="4FA8256F" w14:textId="77777777" w:rsidR="007E0689" w:rsidRDefault="007E068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7811" w14:textId="77777777" w:rsidR="007E0689" w:rsidRDefault="007E0689" w:rsidP="00BB0205">
      <w:pPr>
        <w:spacing w:after="0" w:line="240" w:lineRule="auto"/>
      </w:pPr>
      <w:r>
        <w:separator/>
      </w:r>
    </w:p>
  </w:footnote>
  <w:footnote w:type="continuationSeparator" w:id="0">
    <w:p w14:paraId="320751E7" w14:textId="77777777" w:rsidR="007E0689" w:rsidRDefault="007E068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1326B"/>
    <w:multiLevelType w:val="hybridMultilevel"/>
    <w:tmpl w:val="7A9C3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438C0"/>
    <w:multiLevelType w:val="hybridMultilevel"/>
    <w:tmpl w:val="401241F8"/>
    <w:lvl w:ilvl="0" w:tplc="260607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C06076"/>
    <w:multiLevelType w:val="hybridMultilevel"/>
    <w:tmpl w:val="12BE411A"/>
    <w:lvl w:ilvl="0" w:tplc="E8129E26">
      <w:start w:val="1"/>
      <w:numFmt w:val="bullet"/>
      <w:lvlText w:val=""/>
      <w:lvlJc w:val="left"/>
      <w:pPr>
        <w:ind w:left="927" w:hanging="360"/>
      </w:pPr>
      <w:rPr>
        <w:rFonts w:ascii="Wingdings" w:hAnsi="Wingdings" w:hint="default"/>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num w:numId="1" w16cid:durableId="1670982005">
    <w:abstractNumId w:val="8"/>
  </w:num>
  <w:num w:numId="2" w16cid:durableId="745959156">
    <w:abstractNumId w:val="4"/>
  </w:num>
  <w:num w:numId="3" w16cid:durableId="365060952">
    <w:abstractNumId w:val="2"/>
  </w:num>
  <w:num w:numId="4" w16cid:durableId="970749666">
    <w:abstractNumId w:val="0"/>
  </w:num>
  <w:num w:numId="5" w16cid:durableId="375013857">
    <w:abstractNumId w:val="10"/>
  </w:num>
  <w:num w:numId="6" w16cid:durableId="1141076074">
    <w:abstractNumId w:val="5"/>
  </w:num>
  <w:num w:numId="7" w16cid:durableId="1940603870">
    <w:abstractNumId w:val="7"/>
  </w:num>
  <w:num w:numId="8" w16cid:durableId="1635210393">
    <w:abstractNumId w:val="9"/>
  </w:num>
  <w:num w:numId="9" w16cid:durableId="854153765">
    <w:abstractNumId w:val="6"/>
  </w:num>
  <w:num w:numId="10" w16cid:durableId="223296232">
    <w:abstractNumId w:val="3"/>
  </w:num>
  <w:num w:numId="11" w16cid:durableId="62816516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0D57"/>
    <w:rsid w:val="000177E9"/>
    <w:rsid w:val="00037767"/>
    <w:rsid w:val="000467DF"/>
    <w:rsid w:val="000A4500"/>
    <w:rsid w:val="000C0420"/>
    <w:rsid w:val="000C555B"/>
    <w:rsid w:val="000D2747"/>
    <w:rsid w:val="000D5631"/>
    <w:rsid w:val="000D6922"/>
    <w:rsid w:val="000F7F57"/>
    <w:rsid w:val="00124AF5"/>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3725"/>
    <w:rsid w:val="00446426"/>
    <w:rsid w:val="00460CDE"/>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3129"/>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030C"/>
    <w:rsid w:val="00703A42"/>
    <w:rsid w:val="007052C0"/>
    <w:rsid w:val="00714E7B"/>
    <w:rsid w:val="0071620C"/>
    <w:rsid w:val="00723015"/>
    <w:rsid w:val="00726BDF"/>
    <w:rsid w:val="00743404"/>
    <w:rsid w:val="00745BFC"/>
    <w:rsid w:val="0075782C"/>
    <w:rsid w:val="00760D48"/>
    <w:rsid w:val="00775637"/>
    <w:rsid w:val="007904BD"/>
    <w:rsid w:val="007A0516"/>
    <w:rsid w:val="007A0BEA"/>
    <w:rsid w:val="007B1A2C"/>
    <w:rsid w:val="007B4199"/>
    <w:rsid w:val="007C2932"/>
    <w:rsid w:val="007C66A6"/>
    <w:rsid w:val="007D2AA4"/>
    <w:rsid w:val="007E0689"/>
    <w:rsid w:val="007E2240"/>
    <w:rsid w:val="00800444"/>
    <w:rsid w:val="008151B0"/>
    <w:rsid w:val="008154C6"/>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8E6A2B"/>
    <w:rsid w:val="00904801"/>
    <w:rsid w:val="00923CC5"/>
    <w:rsid w:val="00943673"/>
    <w:rsid w:val="00945A5D"/>
    <w:rsid w:val="009461D9"/>
    <w:rsid w:val="009606AB"/>
    <w:rsid w:val="0096319B"/>
    <w:rsid w:val="00965CE6"/>
    <w:rsid w:val="00966A4C"/>
    <w:rsid w:val="00970EA0"/>
    <w:rsid w:val="009A58D4"/>
    <w:rsid w:val="009B3121"/>
    <w:rsid w:val="009B6144"/>
    <w:rsid w:val="009C79B8"/>
    <w:rsid w:val="009D30D2"/>
    <w:rsid w:val="00A00F62"/>
    <w:rsid w:val="00A07F3C"/>
    <w:rsid w:val="00A166D0"/>
    <w:rsid w:val="00A255FC"/>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3104"/>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71C23"/>
    <w:rsid w:val="00C82FE6"/>
    <w:rsid w:val="00C93F96"/>
    <w:rsid w:val="00C95C29"/>
    <w:rsid w:val="00C95FF1"/>
    <w:rsid w:val="00C97785"/>
    <w:rsid w:val="00CA07FC"/>
    <w:rsid w:val="00CB44DE"/>
    <w:rsid w:val="00CC5EA8"/>
    <w:rsid w:val="00CD75DC"/>
    <w:rsid w:val="00CE7529"/>
    <w:rsid w:val="00D105DF"/>
    <w:rsid w:val="00D12C87"/>
    <w:rsid w:val="00D26EEE"/>
    <w:rsid w:val="00D67B11"/>
    <w:rsid w:val="00D7386B"/>
    <w:rsid w:val="00D74150"/>
    <w:rsid w:val="00D8211D"/>
    <w:rsid w:val="00D852D6"/>
    <w:rsid w:val="00D9275F"/>
    <w:rsid w:val="00D9612E"/>
    <w:rsid w:val="00DA4C7E"/>
    <w:rsid w:val="00DB35BB"/>
    <w:rsid w:val="00DB4B64"/>
    <w:rsid w:val="00DC48DA"/>
    <w:rsid w:val="00DD5A4F"/>
    <w:rsid w:val="00DF4298"/>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1193"/>
    <w:rsid w:val="00F55928"/>
    <w:rsid w:val="00F5767B"/>
    <w:rsid w:val="00F6789C"/>
    <w:rsid w:val="00F77DFE"/>
    <w:rsid w:val="00F82C86"/>
    <w:rsid w:val="00F83B94"/>
    <w:rsid w:val="00F83C7A"/>
    <w:rsid w:val="00F83EAA"/>
    <w:rsid w:val="00FB38FA"/>
    <w:rsid w:val="00FB5206"/>
    <w:rsid w:val="00FC0E49"/>
    <w:rsid w:val="00FD1CD3"/>
    <w:rsid w:val="00FD57B4"/>
    <w:rsid w:val="00FD6C80"/>
    <w:rsid w:val="00FE1A44"/>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xcontentpasted0">
    <w:name w:val="x_contentpasted0"/>
    <w:basedOn w:val="DefaultParagraphFont"/>
    <w:rsid w:val="00DC48DA"/>
  </w:style>
  <w:style w:type="character" w:customStyle="1" w:styleId="contentpasted0">
    <w:name w:val="contentpasted0"/>
    <w:basedOn w:val="DefaultParagraphFont"/>
    <w:rsid w:val="00DC48DA"/>
  </w:style>
  <w:style w:type="character" w:customStyle="1" w:styleId="xcontentpasted1">
    <w:name w:val="x_contentpasted1"/>
    <w:basedOn w:val="DefaultParagraphFont"/>
    <w:rsid w:val="00DC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283116528">
      <w:bodyDiv w:val="1"/>
      <w:marLeft w:val="0"/>
      <w:marRight w:val="0"/>
      <w:marTop w:val="0"/>
      <w:marBottom w:val="0"/>
      <w:divBdr>
        <w:top w:val="none" w:sz="0" w:space="0" w:color="auto"/>
        <w:left w:val="none" w:sz="0" w:space="0" w:color="auto"/>
        <w:bottom w:val="none" w:sz="0" w:space="0" w:color="auto"/>
        <w:right w:val="none" w:sz="0" w:space="0" w:color="auto"/>
      </w:divBdr>
    </w:div>
    <w:div w:id="751009690">
      <w:bodyDiv w:val="1"/>
      <w:marLeft w:val="0"/>
      <w:marRight w:val="0"/>
      <w:marTop w:val="0"/>
      <w:marBottom w:val="0"/>
      <w:divBdr>
        <w:top w:val="none" w:sz="0" w:space="0" w:color="auto"/>
        <w:left w:val="none" w:sz="0" w:space="0" w:color="auto"/>
        <w:bottom w:val="none" w:sz="0" w:space="0" w:color="auto"/>
        <w:right w:val="none" w:sz="0" w:space="0" w:color="auto"/>
      </w:divBdr>
    </w:div>
    <w:div w:id="99726897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563369289">
      <w:bodyDiv w:val="1"/>
      <w:marLeft w:val="0"/>
      <w:marRight w:val="0"/>
      <w:marTop w:val="0"/>
      <w:marBottom w:val="0"/>
      <w:divBdr>
        <w:top w:val="none" w:sz="0" w:space="0" w:color="auto"/>
        <w:left w:val="none" w:sz="0" w:space="0" w:color="auto"/>
        <w:bottom w:val="none" w:sz="0" w:space="0" w:color="auto"/>
        <w:right w:val="none" w:sz="0" w:space="0" w:color="auto"/>
      </w:divBdr>
    </w:div>
    <w:div w:id="181451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graphy.org.uk/ite/initial-teacher-education/geography-support-for-trainees-and-ects/learning-to-teach-secondary-geography/ite-trainees-classroom-practice/explicit-teaching/exposition-and-explaining/"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sites.edgehill.ac.uk/mentorspace/files/2023/08/Geography-Subject-Specific-Targets6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tes.edgehill.ac.uk/mentorspace/files/2023/09/Secondary-WDS-PP-AY-23-24-exemplar.docx"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secontent.education.vic.gov.au/bd9b9586-fdc0-43af-aee7-eae87feb3fdc/wittwer_renkl_epr_2010.pdf" TargetMode="External"/><Relationship Id="rId24" Type="http://schemas.openxmlformats.org/officeDocument/2006/relationships/hyperlink" Target="https://www.edgehill.ac.uk/document/secondary-pgce-geography-11-16-with-qts-itt-course-plan/" TargetMode="External"/><Relationship Id="rId5" Type="http://schemas.openxmlformats.org/officeDocument/2006/relationships/styles" Target="styles.xml"/><Relationship Id="rId15" Type="http://schemas.openxmlformats.org/officeDocument/2006/relationships/hyperlink" Target="https://youtu.be/04czRL0TTa0" TargetMode="External"/><Relationship Id="rId23" Type="http://schemas.openxmlformats.org/officeDocument/2006/relationships/hyperlink" Target="https://sites.edgehill.ac.uk/mentorspace/files/2023/08/Geography-Subject-Specific-Targets62.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gehill.ac.uk/document/secondary-pgce-geography-11-16-with-qts-itt-course-plan/"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Andrew Watkins</cp:lastModifiedBy>
  <cp:revision>11</cp:revision>
  <cp:lastPrinted>2023-05-18T14:08:00Z</cp:lastPrinted>
  <dcterms:created xsi:type="dcterms:W3CDTF">2023-10-20T12:01:00Z</dcterms:created>
  <dcterms:modified xsi:type="dcterms:W3CDTF">2023-11-17T12:13:00Z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