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481" w:type="dxa"/>
        <w:tblInd w:w="-436" w:type="dxa"/>
        <w:tblCellMar>
          <w:top w:w="145" w:type="dxa"/>
          <w:left w:w="98" w:type="dxa"/>
          <w:right w:w="68" w:type="dxa"/>
        </w:tblCellMar>
        <w:tblLook w:val="04A0" w:firstRow="1" w:lastRow="0" w:firstColumn="1" w:lastColumn="0" w:noHBand="0" w:noVBand="1"/>
      </w:tblPr>
      <w:tblGrid>
        <w:gridCol w:w="1790"/>
        <w:gridCol w:w="905"/>
        <w:gridCol w:w="1687"/>
        <w:gridCol w:w="1133"/>
        <w:gridCol w:w="557"/>
        <w:gridCol w:w="516"/>
        <w:gridCol w:w="1203"/>
        <w:gridCol w:w="575"/>
        <w:gridCol w:w="1124"/>
        <w:gridCol w:w="1192"/>
        <w:gridCol w:w="142"/>
        <w:gridCol w:w="657"/>
      </w:tblGrid>
      <w:tr w:rsidRPr="00F07217" w:rsidR="00BB0205" w:rsidTr="76DCAA32" w14:paraId="31D4C3CB" w14:textId="77777777">
        <w:trPr>
          <w:trHeight w:val="680"/>
        </w:trPr>
        <w:tc>
          <w:tcPr>
            <w:tcW w:w="11481" w:type="dxa"/>
            <w:gridSpan w:val="12"/>
            <w:tcBorders>
              <w:top w:val="single" w:color="auto" w:sz="4" w:space="0"/>
              <w:left w:val="single" w:color="auto" w:sz="4" w:space="0"/>
              <w:bottom w:val="single" w:color="auto" w:sz="4" w:space="0"/>
              <w:right w:val="single" w:color="auto" w:sz="4" w:space="0"/>
            </w:tcBorders>
            <w:shd w:val="clear" w:color="auto" w:fill="7030A0"/>
            <w:tcMar/>
          </w:tcPr>
          <w:p w:rsidR="00B56665" w:rsidP="00B56665" w:rsidRDefault="00BB0205" w14:paraId="02022685" w14:textId="77777777">
            <w:pPr>
              <w:jc w:val="center"/>
              <w:rPr>
                <w:rFonts w:ascii="Cambria" w:hAnsi="Cambria" w:eastAsia="Georgia" w:cs="Georgia"/>
                <w:b/>
                <w:color w:val="FFFFFF" w:themeColor="background1"/>
                <w:sz w:val="20"/>
                <w:szCs w:val="20"/>
              </w:rPr>
            </w:pPr>
            <w:bookmarkStart w:name="_Hlk86825635" w:id="0"/>
            <w:r w:rsidRPr="00523D39">
              <w:rPr>
                <w:rFonts w:ascii="Cambria" w:hAnsi="Cambria" w:eastAsia="Georgia" w:cs="Georgia"/>
                <w:b/>
                <w:color w:val="FFFFFF" w:themeColor="background1"/>
                <w:sz w:val="20"/>
                <w:szCs w:val="20"/>
              </w:rPr>
              <w:t xml:space="preserve">Welcome to the mentor </w:t>
            </w:r>
            <w:r w:rsidRPr="00523D39" w:rsidR="00FE47C3">
              <w:rPr>
                <w:rFonts w:ascii="Cambria" w:hAnsi="Cambria" w:eastAsia="Georgia" w:cs="Georgia"/>
                <w:b/>
                <w:color w:val="FFFFFF" w:themeColor="background1"/>
                <w:sz w:val="20"/>
                <w:szCs w:val="20"/>
              </w:rPr>
              <w:t>Weekly Development Summary</w:t>
            </w:r>
            <w:r w:rsidRPr="00523D39">
              <w:rPr>
                <w:rFonts w:ascii="Cambria" w:hAnsi="Cambria" w:eastAsia="Georgia" w:cs="Georgia"/>
                <w:b/>
                <w:color w:val="FFFFFF" w:themeColor="background1"/>
                <w:sz w:val="20"/>
                <w:szCs w:val="20"/>
              </w:rPr>
              <w:t xml:space="preserve"> from the</w:t>
            </w:r>
          </w:p>
          <w:p w:rsidRPr="00B56665" w:rsidR="006102D0" w:rsidP="2A634077" w:rsidRDefault="00BB0205" w14:paraId="2E8EA821" w14:textId="34680926">
            <w:pPr>
              <w:jc w:val="center"/>
              <w:rPr>
                <w:rFonts w:ascii="Cambria" w:hAnsi="Cambria" w:eastAsia="Georgia" w:cs="Georgia"/>
                <w:b w:val="1"/>
                <w:bCs w:val="1"/>
                <w:color w:val="FFFFFF" w:themeColor="background1"/>
                <w:sz w:val="20"/>
                <w:szCs w:val="20"/>
              </w:rPr>
            </w:pPr>
            <w:r w:rsidRPr="76DCAA32" w:rsidR="00BB0205">
              <w:rPr>
                <w:rFonts w:ascii="Cambria" w:hAnsi="Cambria" w:eastAsia="Georgia" w:cs="Georgia"/>
                <w:b w:val="1"/>
                <w:bCs w:val="1"/>
                <w:color w:val="FFFFFF" w:themeColor="background1" w:themeTint="FF" w:themeShade="FF"/>
                <w:sz w:val="20"/>
                <w:szCs w:val="20"/>
              </w:rPr>
              <w:t xml:space="preserve"> Department of Secondary and Further Education</w:t>
            </w:r>
            <w:r w:rsidRPr="76DCAA32" w:rsidR="00966A4C">
              <w:rPr>
                <w:rFonts w:ascii="Cambria" w:hAnsi="Cambria" w:eastAsia="Georgia" w:cs="Georgia"/>
                <w:b w:val="1"/>
                <w:bCs w:val="1"/>
                <w:color w:val="FFFFFF" w:themeColor="background1" w:themeTint="FF" w:themeShade="FF"/>
                <w:sz w:val="20"/>
                <w:szCs w:val="20"/>
              </w:rPr>
              <w:t xml:space="preserve"> (AY 2</w:t>
            </w:r>
            <w:r w:rsidRPr="76DCAA32" w:rsidR="002D71BC">
              <w:rPr>
                <w:rFonts w:ascii="Cambria" w:hAnsi="Cambria" w:eastAsia="Georgia" w:cs="Georgia"/>
                <w:b w:val="1"/>
                <w:bCs w:val="1"/>
                <w:color w:val="FFFFFF" w:themeColor="background1" w:themeTint="FF" w:themeShade="FF"/>
                <w:sz w:val="20"/>
                <w:szCs w:val="20"/>
              </w:rPr>
              <w:t>3</w:t>
            </w:r>
            <w:r w:rsidRPr="76DCAA32" w:rsidR="00966A4C">
              <w:rPr>
                <w:rFonts w:ascii="Cambria" w:hAnsi="Cambria" w:eastAsia="Georgia" w:cs="Georgia"/>
                <w:b w:val="1"/>
                <w:bCs w:val="1"/>
                <w:color w:val="FFFFFF" w:themeColor="background1" w:themeTint="FF" w:themeShade="FF"/>
                <w:sz w:val="20"/>
                <w:szCs w:val="20"/>
              </w:rPr>
              <w:t>/2</w:t>
            </w:r>
            <w:r w:rsidRPr="76DCAA32" w:rsidR="002D71BC">
              <w:rPr>
                <w:rFonts w:ascii="Cambria" w:hAnsi="Cambria" w:eastAsia="Georgia" w:cs="Georgia"/>
                <w:b w:val="1"/>
                <w:bCs w:val="1"/>
                <w:color w:val="FFFFFF" w:themeColor="background1" w:themeTint="FF" w:themeShade="FF"/>
                <w:sz w:val="20"/>
                <w:szCs w:val="20"/>
              </w:rPr>
              <w:t>4</w:t>
            </w:r>
            <w:r w:rsidRPr="76DCAA32" w:rsidR="00966A4C">
              <w:rPr>
                <w:rFonts w:ascii="Cambria" w:hAnsi="Cambria" w:eastAsia="Georgia" w:cs="Georgia"/>
                <w:b w:val="1"/>
                <w:bCs w:val="1"/>
                <w:color w:val="FFFFFF" w:themeColor="background1" w:themeTint="FF" w:themeShade="FF"/>
                <w:sz w:val="20"/>
                <w:szCs w:val="20"/>
              </w:rPr>
              <w:t>)</w:t>
            </w:r>
            <w:r w:rsidRPr="76DCAA32" w:rsidR="00B56665">
              <w:rPr>
                <w:rFonts w:ascii="Cambria" w:hAnsi="Cambria" w:eastAsia="Georgia" w:cs="Georgia"/>
                <w:b w:val="1"/>
                <w:bCs w:val="1"/>
                <w:color w:val="FFFFFF" w:themeColor="background1" w:themeTint="FF" w:themeShade="FF"/>
                <w:sz w:val="20"/>
                <w:szCs w:val="20"/>
              </w:rPr>
              <w:t xml:space="preserve"> </w:t>
            </w:r>
            <w:r w:rsidRPr="76DCAA32" w:rsidR="006102D0">
              <w:rPr>
                <w:rFonts w:ascii="Cambria" w:hAnsi="Cambria" w:eastAsia="Georgia" w:cs="Georgia"/>
                <w:b w:val="1"/>
                <w:bCs w:val="1"/>
                <w:color w:val="FFFFFF" w:themeColor="background1" w:themeTint="FF" w:themeShade="FF"/>
                <w:sz w:val="20"/>
                <w:szCs w:val="20"/>
              </w:rPr>
              <w:t xml:space="preserve">Week </w:t>
            </w:r>
            <w:r w:rsidRPr="76DCAA32" w:rsidR="76E655BB">
              <w:rPr>
                <w:rFonts w:ascii="Cambria" w:hAnsi="Cambria" w:eastAsia="Georgia" w:cs="Georgia"/>
                <w:b w:val="1"/>
                <w:bCs w:val="1"/>
                <w:color w:val="FFFFFF" w:themeColor="background1" w:themeTint="FF" w:themeShade="FF"/>
                <w:sz w:val="20"/>
                <w:szCs w:val="20"/>
              </w:rPr>
              <w:t>21</w:t>
            </w:r>
          </w:p>
        </w:tc>
      </w:tr>
      <w:tr w:rsidRPr="00F07217" w:rsidR="00E65DEB" w:rsidTr="76DCAA32" w14:paraId="691F8551" w14:textId="77777777">
        <w:trPr>
          <w:trHeight w:val="650"/>
        </w:trPr>
        <w:tc>
          <w:tcPr>
            <w:tcW w:w="11481" w:type="dxa"/>
            <w:gridSpan w:val="12"/>
            <w:tcBorders>
              <w:top w:val="single" w:color="auto" w:sz="4" w:space="0"/>
              <w:left w:val="single" w:color="auto" w:sz="4" w:space="0"/>
              <w:bottom w:val="single" w:color="auto" w:sz="4" w:space="0"/>
              <w:right w:val="single" w:color="auto" w:sz="4" w:space="0"/>
            </w:tcBorders>
            <w:shd w:val="clear" w:color="auto" w:fill="FFFF00"/>
            <w:tcMar/>
          </w:tcPr>
          <w:p w:rsidRPr="00523D39" w:rsidR="00E65DEB" w:rsidRDefault="00606867" w14:paraId="052E0933" w14:textId="378942E4">
            <w:pPr>
              <w:jc w:val="both"/>
              <w:rPr>
                <w:rFonts w:ascii="Cambria" w:hAnsi="Cambria"/>
                <w:b/>
                <w:bCs/>
                <w:sz w:val="20"/>
                <w:szCs w:val="20"/>
              </w:rPr>
            </w:pPr>
            <w:r w:rsidRPr="00523D39">
              <w:rPr>
                <w:rFonts w:ascii="Cambria" w:hAnsi="Cambria"/>
                <w:b/>
                <w:bCs/>
                <w:sz w:val="20"/>
                <w:szCs w:val="20"/>
              </w:rPr>
              <w:t>Course:</w:t>
            </w:r>
            <w:r w:rsidRPr="00523D39" w:rsidR="00866227">
              <w:rPr>
                <w:rFonts w:ascii="Cambria" w:hAnsi="Cambria"/>
                <w:b/>
                <w:bCs/>
                <w:sz w:val="20"/>
                <w:szCs w:val="20"/>
              </w:rPr>
              <w:t xml:space="preserve"> </w:t>
            </w:r>
            <w:r w:rsidR="00B56665">
              <w:rPr>
                <w:rFonts w:ascii="Cambria" w:hAnsi="Cambria"/>
                <w:b/>
                <w:bCs/>
                <w:sz w:val="20"/>
                <w:szCs w:val="20"/>
              </w:rPr>
              <w:t>RE PGCE</w:t>
            </w:r>
          </w:p>
          <w:p w:rsidRPr="00523D39" w:rsidR="00AE0D6F" w:rsidP="009D30D2" w:rsidRDefault="00EE1D6A" w14:paraId="69F14CE3" w14:textId="3F574C10">
            <w:pPr>
              <w:jc w:val="center"/>
              <w:rPr>
                <w:rFonts w:ascii="Cambria" w:hAnsi="Cambria"/>
                <w:b/>
                <w:bCs/>
                <w:sz w:val="20"/>
                <w:szCs w:val="20"/>
              </w:rPr>
            </w:pPr>
            <w:r w:rsidRPr="00523D39">
              <w:rPr>
                <w:rFonts w:ascii="Cambria" w:hAnsi="Cambria"/>
                <w:b/>
                <w:bCs/>
                <w:sz w:val="20"/>
                <w:szCs w:val="20"/>
              </w:rPr>
              <w:t xml:space="preserve"> </w:t>
            </w:r>
            <w:r w:rsidRPr="00523D39" w:rsidR="009D30D2">
              <w:rPr>
                <w:rFonts w:ascii="Cambria" w:hAnsi="Cambria"/>
                <w:b/>
                <w:bCs/>
                <w:sz w:val="20"/>
                <w:szCs w:val="20"/>
              </w:rPr>
              <w:t>‘Working creatively with others to enhance life chances’</w:t>
            </w:r>
          </w:p>
        </w:tc>
      </w:tr>
      <w:tr w:rsidRPr="00F07217" w:rsidR="004009A7" w:rsidTr="76DCAA32" w14:paraId="06170D5F" w14:textId="77777777">
        <w:trPr>
          <w:trHeight w:val="126"/>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CD2C8F6" w14:textId="5D848E3C">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D745CE3" w14:textId="77777777">
            <w:pPr>
              <w:jc w:val="both"/>
              <w:rPr>
                <w:rFonts w:ascii="Cambria" w:hAnsi="Cambria"/>
                <w:b/>
                <w:bCs/>
                <w:sz w:val="20"/>
                <w:szCs w:val="20"/>
              </w:rPr>
            </w:pP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41C29F0" w14:textId="3FCFA465">
            <w:pPr>
              <w:jc w:val="both"/>
              <w:rPr>
                <w:rFonts w:ascii="Cambria" w:hAnsi="Cambria"/>
                <w:b/>
                <w:bCs/>
                <w:sz w:val="20"/>
                <w:szCs w:val="20"/>
              </w:rPr>
            </w:pPr>
            <w:r w:rsidRPr="00523D39">
              <w:rPr>
                <w:rFonts w:ascii="Cambria" w:hAnsi="Cambria"/>
                <w:b/>
                <w:bCs/>
                <w:sz w:val="20"/>
                <w:szCs w:val="20"/>
              </w:rPr>
              <w:t>Trainee ID no.</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949FA60" w14:textId="3FE2047B">
            <w:pPr>
              <w:jc w:val="both"/>
              <w:rPr>
                <w:rFonts w:ascii="Cambria" w:hAnsi="Cambria"/>
                <w:b/>
                <w:bCs/>
                <w:sz w:val="20"/>
                <w:szCs w:val="20"/>
              </w:rPr>
            </w:pPr>
          </w:p>
        </w:tc>
      </w:tr>
      <w:tr w:rsidRPr="00F07217" w:rsidR="004009A7" w:rsidTr="76DCAA32" w14:paraId="7196D986"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449CC42" w14:textId="1934EA31">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E2DD972" w14:textId="77777777">
            <w:pPr>
              <w:jc w:val="both"/>
              <w:rPr>
                <w:rFonts w:ascii="Cambria" w:hAnsi="Cambria"/>
                <w:b/>
                <w:bCs/>
                <w:sz w:val="20"/>
                <w:szCs w:val="20"/>
              </w:rPr>
            </w:pP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FFB993F" w14:textId="02556042">
            <w:pPr>
              <w:jc w:val="both"/>
              <w:rPr>
                <w:rFonts w:ascii="Cambria" w:hAnsi="Cambria"/>
                <w:b/>
                <w:bCs/>
                <w:sz w:val="20"/>
                <w:szCs w:val="20"/>
              </w:rPr>
            </w:pPr>
            <w:r w:rsidRPr="00523D39">
              <w:rPr>
                <w:rFonts w:ascii="Cambria" w:hAnsi="Cambria"/>
                <w:b/>
                <w:bCs/>
                <w:sz w:val="20"/>
                <w:szCs w:val="20"/>
              </w:rPr>
              <w:t>Professional Practice phase</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P="76DCAA32" w:rsidRDefault="00B56665" w14:paraId="7061C386" w14:textId="234376BB">
            <w:pPr>
              <w:pStyle w:val="Normal"/>
              <w:suppressLineNumbers w:val="0"/>
              <w:bidi w:val="0"/>
              <w:spacing w:before="0" w:beforeAutospacing="off" w:after="0" w:afterAutospacing="off" w:line="259" w:lineRule="auto"/>
              <w:ind w:left="0" w:right="0"/>
              <w:jc w:val="both"/>
            </w:pPr>
            <w:r w:rsidRPr="76DCAA32" w:rsidR="20A2760A">
              <w:rPr>
                <w:rFonts w:ascii="Cambria" w:hAnsi="Cambria"/>
                <w:b w:val="1"/>
                <w:bCs w:val="1"/>
                <w:sz w:val="20"/>
                <w:szCs w:val="20"/>
              </w:rPr>
              <w:t>Developmental (B)</w:t>
            </w:r>
          </w:p>
        </w:tc>
      </w:tr>
      <w:tr w:rsidRPr="00F07217" w:rsidR="004009A7" w:rsidTr="76DCAA32" w14:paraId="4FBA03EC"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AC0749B" w14:textId="5072B3EB">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B56665" w14:paraId="244641AB" w14:textId="4EAA3E1C">
            <w:pPr>
              <w:jc w:val="both"/>
              <w:rPr>
                <w:rFonts w:ascii="Cambria" w:hAnsi="Cambria"/>
                <w:b/>
                <w:bCs/>
                <w:sz w:val="20"/>
                <w:szCs w:val="20"/>
              </w:rPr>
            </w:pPr>
            <w:r>
              <w:rPr>
                <w:rFonts w:ascii="Cambria" w:hAnsi="Cambria"/>
                <w:b/>
                <w:bCs/>
                <w:sz w:val="20"/>
                <w:szCs w:val="20"/>
              </w:rPr>
              <w:t>Heather Marshall</w:t>
            </w: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651F684" w14:textId="4EB0854D">
            <w:pPr>
              <w:jc w:val="both"/>
              <w:rPr>
                <w:rFonts w:ascii="Cambria" w:hAnsi="Cambria"/>
                <w:b/>
                <w:bCs/>
                <w:sz w:val="20"/>
                <w:szCs w:val="20"/>
              </w:rPr>
            </w:pPr>
            <w:r w:rsidRPr="00523D39">
              <w:rPr>
                <w:rFonts w:ascii="Cambria" w:hAnsi="Cambria"/>
                <w:b/>
                <w:bCs/>
                <w:sz w:val="20"/>
                <w:szCs w:val="20"/>
              </w:rPr>
              <w:t>Name of setting</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4323CE9C" w14:textId="006C6DE4">
            <w:pPr>
              <w:jc w:val="both"/>
              <w:rPr>
                <w:rFonts w:ascii="Cambria" w:hAnsi="Cambria"/>
                <w:b/>
                <w:bCs/>
                <w:sz w:val="20"/>
                <w:szCs w:val="20"/>
              </w:rPr>
            </w:pPr>
          </w:p>
        </w:tc>
      </w:tr>
      <w:tr w:rsidRPr="00F07217" w:rsidR="004009A7" w:rsidTr="76DCAA32" w14:paraId="4FA3BD19"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2D91E0C7" w14:textId="38D0AB5A">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B56665" w14:paraId="5068FCC5" w14:textId="036EDF8D">
            <w:pPr>
              <w:jc w:val="both"/>
              <w:rPr>
                <w:rFonts w:ascii="Cambria" w:hAnsi="Cambria"/>
                <w:b/>
                <w:bCs/>
                <w:sz w:val="20"/>
                <w:szCs w:val="20"/>
              </w:rPr>
            </w:pPr>
            <w:r>
              <w:rPr>
                <w:rFonts w:ascii="Cambria" w:hAnsi="Cambria"/>
                <w:b/>
                <w:bCs/>
                <w:sz w:val="20"/>
                <w:szCs w:val="20"/>
              </w:rPr>
              <w:t>RE PGCE</w:t>
            </w: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66B60088" w14:textId="68058C76">
            <w:pPr>
              <w:jc w:val="both"/>
              <w:rPr>
                <w:rFonts w:ascii="Cambria" w:hAnsi="Cambria"/>
                <w:b/>
                <w:bCs/>
                <w:sz w:val="20"/>
                <w:szCs w:val="20"/>
              </w:rPr>
            </w:pPr>
            <w:r w:rsidRPr="00523D39">
              <w:rPr>
                <w:rFonts w:ascii="Cambria" w:hAnsi="Cambria"/>
                <w:b/>
                <w:bCs/>
                <w:sz w:val="20"/>
                <w:szCs w:val="20"/>
              </w:rPr>
              <w:t>Week beginning</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30B2B588" w14:paraId="2E3558FD" w14:textId="7828FC49">
            <w:pPr>
              <w:jc w:val="both"/>
              <w:rPr>
                <w:rFonts w:ascii="Cambria" w:hAnsi="Cambria"/>
                <w:b w:val="1"/>
                <w:bCs w:val="1"/>
                <w:sz w:val="20"/>
                <w:szCs w:val="20"/>
              </w:rPr>
            </w:pPr>
            <w:r w:rsidRPr="76DCAA32" w:rsidR="7A25BCF4">
              <w:rPr>
                <w:rFonts w:ascii="Cambria" w:hAnsi="Cambria"/>
                <w:b w:val="1"/>
                <w:bCs w:val="1"/>
                <w:sz w:val="20"/>
                <w:szCs w:val="20"/>
              </w:rPr>
              <w:t>15</w:t>
            </w:r>
            <w:r w:rsidRPr="76DCAA32" w:rsidR="7D650DFE">
              <w:rPr>
                <w:rFonts w:ascii="Cambria" w:hAnsi="Cambria"/>
                <w:b w:val="1"/>
                <w:bCs w:val="1"/>
                <w:sz w:val="20"/>
                <w:szCs w:val="20"/>
              </w:rPr>
              <w:t>/</w:t>
            </w:r>
            <w:r w:rsidRPr="76DCAA32" w:rsidR="775543F0">
              <w:rPr>
                <w:rFonts w:ascii="Cambria" w:hAnsi="Cambria"/>
                <w:b w:val="1"/>
                <w:bCs w:val="1"/>
                <w:sz w:val="20"/>
                <w:szCs w:val="20"/>
              </w:rPr>
              <w:t>01</w:t>
            </w:r>
            <w:r w:rsidRPr="76DCAA32" w:rsidR="5ABA93A9">
              <w:rPr>
                <w:rFonts w:ascii="Cambria" w:hAnsi="Cambria"/>
                <w:b w:val="1"/>
                <w:bCs w:val="1"/>
                <w:sz w:val="20"/>
                <w:szCs w:val="20"/>
              </w:rPr>
              <w:t>/202</w:t>
            </w:r>
            <w:r w:rsidRPr="76DCAA32" w:rsidR="28D22E12">
              <w:rPr>
                <w:rFonts w:ascii="Cambria" w:hAnsi="Cambria"/>
                <w:b w:val="1"/>
                <w:bCs w:val="1"/>
                <w:sz w:val="20"/>
                <w:szCs w:val="20"/>
              </w:rPr>
              <w:t>4</w:t>
            </w:r>
          </w:p>
        </w:tc>
      </w:tr>
      <w:tr w:rsidRPr="00F07217" w:rsidR="001506CA" w:rsidTr="76DCAA32" w14:paraId="25B9C3C9"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1506CA" w14:paraId="7EF7721D" w14:textId="710BC591">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1506CA" w14:paraId="02A5213D" w14:textId="596149F4">
            <w:pPr>
              <w:jc w:val="center"/>
              <w:rPr>
                <w:rFonts w:ascii="Cambria" w:hAnsi="Cambria"/>
                <w:b w:val="1"/>
                <w:bCs w:val="1"/>
                <w:sz w:val="20"/>
                <w:szCs w:val="20"/>
                <w:highlight w:val="yellow"/>
              </w:rPr>
            </w:pPr>
            <w:r w:rsidRPr="63B9B6B1" w:rsidR="001506CA">
              <w:rPr>
                <w:rFonts w:ascii="Cambria" w:hAnsi="Cambria"/>
                <w:b w:val="1"/>
                <w:bCs w:val="1"/>
                <w:sz w:val="20"/>
                <w:szCs w:val="20"/>
                <w:highlight w:val="yellow"/>
              </w:rPr>
              <w:t>M</w:t>
            </w:r>
            <w:r w:rsidRPr="63B9B6B1" w:rsidR="005113AE">
              <w:rPr>
                <w:rFonts w:ascii="Cambria" w:hAnsi="Cambria"/>
                <w:b w:val="1"/>
                <w:bCs w:val="1"/>
                <w:sz w:val="20"/>
                <w:szCs w:val="20"/>
                <w:highlight w:val="yellow"/>
              </w:rPr>
              <w:t>onday</w:t>
            </w:r>
          </w:p>
        </w:tc>
        <w:tc>
          <w:tcPr>
            <w:tcW w:w="169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5113AE" w14:paraId="13F8C042" w14:textId="5CF285E3">
            <w:pPr>
              <w:jc w:val="center"/>
              <w:rPr>
                <w:rFonts w:ascii="Cambria" w:hAnsi="Cambria"/>
                <w:b w:val="1"/>
                <w:bCs w:val="1"/>
                <w:sz w:val="20"/>
                <w:szCs w:val="20"/>
                <w:highlight w:val="yellow"/>
              </w:rPr>
            </w:pPr>
            <w:r w:rsidRPr="63B9B6B1" w:rsidR="005113AE">
              <w:rPr>
                <w:rFonts w:ascii="Cambria" w:hAnsi="Cambria"/>
                <w:b w:val="1"/>
                <w:bCs w:val="1"/>
                <w:sz w:val="20"/>
                <w:szCs w:val="20"/>
                <w:highlight w:val="yellow"/>
              </w:rPr>
              <w:t>Tuesday</w:t>
            </w:r>
          </w:p>
        </w:tc>
        <w:tc>
          <w:tcPr>
            <w:tcW w:w="1719"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5113AE" w14:paraId="48F46611" w14:textId="7F56CFAC">
            <w:pPr>
              <w:jc w:val="center"/>
              <w:rPr>
                <w:rFonts w:ascii="Cambria" w:hAnsi="Cambria"/>
                <w:b w:val="1"/>
                <w:bCs w:val="1"/>
                <w:sz w:val="20"/>
                <w:szCs w:val="20"/>
                <w:highlight w:val="yellow"/>
              </w:rPr>
            </w:pPr>
            <w:r w:rsidRPr="63B9B6B1" w:rsidR="005113AE">
              <w:rPr>
                <w:rFonts w:ascii="Cambria" w:hAnsi="Cambria"/>
                <w:b w:val="1"/>
                <w:bCs w:val="1"/>
                <w:sz w:val="20"/>
                <w:szCs w:val="20"/>
                <w:highlight w:val="yellow"/>
              </w:rPr>
              <w:t>Wednesday</w:t>
            </w:r>
          </w:p>
        </w:tc>
        <w:tc>
          <w:tcPr>
            <w:tcW w:w="1699"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5113AE" w14:paraId="62FC6C98" w14:textId="6FCE8062">
            <w:pPr>
              <w:jc w:val="center"/>
              <w:rPr>
                <w:rFonts w:ascii="Cambria" w:hAnsi="Cambria"/>
                <w:b w:val="1"/>
                <w:bCs w:val="1"/>
                <w:sz w:val="20"/>
                <w:szCs w:val="20"/>
                <w:highlight w:val="yellow"/>
              </w:rPr>
            </w:pPr>
            <w:r w:rsidRPr="63B9B6B1" w:rsidR="005113AE">
              <w:rPr>
                <w:rFonts w:ascii="Cambria" w:hAnsi="Cambria"/>
                <w:b w:val="1"/>
                <w:bCs w:val="1"/>
                <w:sz w:val="20"/>
                <w:szCs w:val="20"/>
                <w:highlight w:val="yellow"/>
              </w:rPr>
              <w:t>Thursday</w:t>
            </w:r>
          </w:p>
        </w:tc>
        <w:tc>
          <w:tcPr>
            <w:tcW w:w="1991" w:type="dxa"/>
            <w:gridSpan w:val="3"/>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5113AE" w14:paraId="6F839360" w14:textId="12ADC1A0">
            <w:pPr>
              <w:jc w:val="center"/>
              <w:rPr>
                <w:rFonts w:ascii="Cambria" w:hAnsi="Cambria"/>
                <w:b w:val="1"/>
                <w:bCs w:val="1"/>
                <w:sz w:val="20"/>
                <w:szCs w:val="20"/>
                <w:highlight w:val="yellow"/>
              </w:rPr>
            </w:pPr>
            <w:r w:rsidRPr="63B9B6B1" w:rsidR="005113AE">
              <w:rPr>
                <w:rFonts w:ascii="Cambria" w:hAnsi="Cambria"/>
                <w:b w:val="1"/>
                <w:bCs w:val="1"/>
                <w:sz w:val="20"/>
                <w:szCs w:val="20"/>
                <w:highlight w:val="yellow"/>
              </w:rPr>
              <w:t>Friday</w:t>
            </w:r>
          </w:p>
        </w:tc>
      </w:tr>
      <w:tr w:rsidRPr="00F07217" w:rsidR="0057496A" w:rsidTr="76DCAA32" w14:paraId="0EB57F5F" w14:textId="77777777">
        <w:trPr>
          <w:trHeight w:val="5580"/>
        </w:trPr>
        <w:tc>
          <w:tcPr>
            <w:tcW w:w="1790" w:type="dxa"/>
            <w:tcBorders>
              <w:top w:val="single" w:color="auto" w:sz="4" w:space="0"/>
              <w:left w:val="single" w:color="auto" w:sz="4" w:space="0"/>
              <w:bottom w:val="single" w:color="auto" w:sz="4" w:space="0"/>
              <w:right w:val="single" w:color="auto" w:sz="4" w:space="0"/>
            </w:tcBorders>
            <w:shd w:val="clear" w:color="auto" w:fill="auto"/>
            <w:tcMar/>
          </w:tcPr>
          <w:p w:rsidRPr="00523D39" w:rsidR="0057496A" w:rsidP="008A67D8" w:rsidRDefault="002D71BC" w14:paraId="211731FE" w14:textId="250F6EA0">
            <w:pPr>
              <w:rPr>
                <w:rFonts w:ascii="Cambria" w:hAnsi="Cambria"/>
                <w:b/>
                <w:bCs/>
                <w:sz w:val="20"/>
                <w:szCs w:val="20"/>
              </w:rPr>
            </w:pPr>
            <w:r w:rsidRPr="00523D39">
              <w:rPr>
                <w:rFonts w:ascii="Cambria" w:hAnsi="Cambria"/>
                <w:b/>
                <w:bCs/>
                <w:sz w:val="20"/>
                <w:szCs w:val="20"/>
              </w:rPr>
              <w:t>Key reading for the week</w:t>
            </w:r>
          </w:p>
          <w:p w:rsidRPr="00523D39" w:rsidR="005120DA" w:rsidP="005120DA" w:rsidRDefault="005120DA" w14:paraId="4E67F24B" w14:textId="11E5B013">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91" w:type="dxa"/>
            <w:gridSpan w:val="11"/>
            <w:tcBorders>
              <w:top w:val="single" w:color="auto" w:sz="4" w:space="0"/>
              <w:left w:val="single" w:color="auto" w:sz="4" w:space="0"/>
              <w:bottom w:val="single" w:color="auto" w:sz="4" w:space="0"/>
              <w:right w:val="single" w:color="auto" w:sz="4" w:space="0"/>
            </w:tcBorders>
            <w:shd w:val="clear" w:color="auto" w:fill="auto"/>
            <w:tcMar/>
          </w:tcPr>
          <w:p w:rsidRPr="00B56665" w:rsidR="00BE47F7" w:rsidP="6C53551C" w:rsidRDefault="1FB2193F" w14:paraId="152FA847" w14:textId="6630F366">
            <w:pPr>
              <w:pStyle w:val="paragraph"/>
              <w:spacing w:before="0" w:beforeAutospacing="0" w:after="0" w:afterAutospacing="0"/>
              <w:textAlignment w:val="baseline"/>
              <w:rPr>
                <w:rStyle w:val="eop"/>
                <w:rFonts w:ascii="Cambria" w:hAnsi="Cambria" w:eastAsia="Cambria" w:cs="Cambria"/>
              </w:rPr>
            </w:pPr>
            <w:r w:rsidRPr="6C53551C">
              <w:rPr>
                <w:rFonts w:ascii="Cambria" w:hAnsi="Cambria" w:eastAsia="Cambria" w:cs="Cambria"/>
                <w:b/>
                <w:bCs/>
              </w:rPr>
              <w:t>Summary</w:t>
            </w:r>
            <w:r w:rsidRPr="6C53551C" w:rsidR="751BA3A1">
              <w:rPr>
                <w:rStyle w:val="normaltextrun"/>
                <w:rFonts w:ascii="Cambria" w:hAnsi="Cambria" w:eastAsia="Cambria" w:cs="Cambria"/>
                <w:shd w:val="clear" w:color="auto" w:fill="FFFFFF"/>
                <w:lang w:val="en-US"/>
              </w:rPr>
              <w:t xml:space="preserve"> </w:t>
            </w:r>
          </w:p>
          <w:p w:rsidR="5D69A499" w:rsidP="76DCAA32" w:rsidRDefault="5D69A499" w14:paraId="1F65D312" w14:textId="094D483C">
            <w:pPr>
              <w:pStyle w:val="paragraph"/>
              <w:spacing w:before="0" w:beforeAutospacing="off" w:after="0" w:afterAutospacing="off"/>
              <w:rPr>
                <w:rFonts w:ascii="Cambria" w:hAnsi="Cambria" w:eastAsia="Cambria" w:cs="Cambria"/>
                <w:color w:val="242424"/>
                <w:lang w:val="en-US"/>
              </w:rPr>
            </w:pPr>
            <w:r w:rsidRPr="76DCAA32" w:rsidR="5D69A499">
              <w:rPr>
                <w:rFonts w:ascii="Cambria" w:hAnsi="Cambria" w:eastAsia="Cambria" w:cs="Cambria"/>
                <w:color w:val="242424"/>
                <w:lang w:val="en-US"/>
              </w:rPr>
              <w:t xml:space="preserve">The article "Moving Barriers: Promoting Learning for Diversity in Initial Teacher Education" examines the effectiveness of teacher training in Northern Ireland in preparing educators for increasingly diverse classrooms. It focuses on the need for tolerance and cultural competence in education post the Good Friday Agreement. The study involves a survey and focus groups with final-year students at a teacher training college, revealing a </w:t>
            </w:r>
            <w:r w:rsidRPr="76DCAA32" w:rsidR="5D69A499">
              <w:rPr>
                <w:rFonts w:ascii="Cambria" w:hAnsi="Cambria" w:eastAsia="Cambria" w:cs="Cambria"/>
                <w:color w:val="242424"/>
                <w:lang w:val="en-US"/>
              </w:rPr>
              <w:t>largely homogenous</w:t>
            </w:r>
            <w:r w:rsidRPr="76DCAA32" w:rsidR="5D69A499">
              <w:rPr>
                <w:rFonts w:ascii="Cambria" w:hAnsi="Cambria" w:eastAsia="Cambria" w:cs="Cambria"/>
                <w:color w:val="242424"/>
                <w:lang w:val="en-US"/>
              </w:rPr>
              <w:t xml:space="preserve"> student population with limited exposure to diversity. Despite recognizing the importance of diversity in education, many students felt unprepared for diverse classrooms. The paper suggests the need for more comprehensive training strategies to better equip future teachers for multicultural environments.</w:t>
            </w:r>
          </w:p>
          <w:p w:rsidRPr="00B56665" w:rsidR="00F45E23" w:rsidP="6C53551C" w:rsidRDefault="00F45E23" w14:paraId="4D2FE307" w14:textId="77777777">
            <w:pPr>
              <w:rPr>
                <w:rFonts w:ascii="Cambria" w:hAnsi="Cambria" w:eastAsia="Cambria" w:cs="Cambria"/>
                <w:sz w:val="24"/>
                <w:szCs w:val="24"/>
              </w:rPr>
            </w:pPr>
          </w:p>
          <w:p w:rsidR="627CABE2" w:rsidP="6C53551C" w:rsidRDefault="627CABE2" w14:paraId="2F13A612" w14:textId="07DEA2DF">
            <w:pPr>
              <w:rPr>
                <w:rFonts w:ascii="Cambria" w:hAnsi="Cambria" w:eastAsia="Cambria" w:cs="Cambria"/>
                <w:b/>
                <w:bCs/>
                <w:sz w:val="24"/>
                <w:szCs w:val="24"/>
              </w:rPr>
            </w:pPr>
            <w:r w:rsidRPr="6C53551C">
              <w:rPr>
                <w:rFonts w:ascii="Cambria" w:hAnsi="Cambria" w:eastAsia="Cambria" w:cs="Cambria"/>
                <w:b/>
                <w:bCs/>
                <w:sz w:val="24"/>
                <w:szCs w:val="24"/>
              </w:rPr>
              <w:t>Limitations</w:t>
            </w:r>
          </w:p>
          <w:p w:rsidR="6C53551C" w:rsidP="6C53551C" w:rsidRDefault="6C53551C" w14:paraId="60D921DA" w14:textId="709F8B71">
            <w:pPr>
              <w:rPr>
                <w:rFonts w:ascii="Cambria" w:hAnsi="Cambria" w:eastAsia="Cambria" w:cs="Cambria"/>
                <w:sz w:val="24"/>
                <w:szCs w:val="24"/>
              </w:rPr>
            </w:pPr>
          </w:p>
          <w:p w:rsidR="1793E323" w:rsidP="76DCAA32" w:rsidRDefault="1793E323" w14:paraId="550551CF" w14:textId="29978F73">
            <w:pPr>
              <w:pStyle w:val="Normal"/>
              <w:rPr>
                <w:rFonts w:ascii="Cambria" w:hAnsi="Cambria" w:eastAsia="Cambria" w:cs="Cambria"/>
                <w:sz w:val="24"/>
                <w:szCs w:val="24"/>
              </w:rPr>
            </w:pPr>
            <w:r w:rsidRPr="76DCAA32" w:rsidR="1793E323">
              <w:rPr>
                <w:rFonts w:ascii="Cambria" w:hAnsi="Cambria" w:eastAsia="Cambria" w:cs="Cambria"/>
                <w:sz w:val="24"/>
                <w:szCs w:val="24"/>
              </w:rPr>
              <w:t xml:space="preserve">The study "Moving Barriers: Promoting Learning for Diversity in Initial Teacher Education" has several limitations. Its scope is limited to a single teacher training college in Northern Ireland, which affects the generalizability of its findings. The reliance on self-reported data from surveys and focus groups may introduce biases. The absence of longitudinal data and comparative analysis with other institutions limits the depth of the conclusions. Additionally, the study does not thoroughly </w:t>
            </w:r>
            <w:r w:rsidRPr="76DCAA32" w:rsidR="1793E323">
              <w:rPr>
                <w:rFonts w:ascii="Cambria" w:hAnsi="Cambria" w:eastAsia="Cambria" w:cs="Cambria"/>
                <w:sz w:val="24"/>
                <w:szCs w:val="24"/>
              </w:rPr>
              <w:t>analyse</w:t>
            </w:r>
            <w:r w:rsidRPr="76DCAA32" w:rsidR="1793E323">
              <w:rPr>
                <w:rFonts w:ascii="Cambria" w:hAnsi="Cambria" w:eastAsia="Cambria" w:cs="Cambria"/>
                <w:sz w:val="24"/>
                <w:szCs w:val="24"/>
              </w:rPr>
              <w:t xml:space="preserve"> the curriculum content or teaching methodologies, key factors in understanding the effectiveness of diversity education.</w:t>
            </w:r>
          </w:p>
          <w:p w:rsidR="6C53551C" w:rsidP="6C53551C" w:rsidRDefault="6C53551C" w14:paraId="1A19B796" w14:textId="362B9F28">
            <w:pPr>
              <w:rPr>
                <w:rFonts w:ascii="Cambria" w:hAnsi="Cambria" w:cstheme="minorBidi"/>
                <w:sz w:val="20"/>
                <w:szCs w:val="20"/>
              </w:rPr>
            </w:pPr>
          </w:p>
          <w:p w:rsidRPr="00B56665" w:rsidR="00BE47F7" w:rsidP="6C53551C" w:rsidRDefault="1FB2193F" w14:paraId="5F74899B" w14:textId="6440AE83">
            <w:pPr>
              <w:pStyle w:val="paragraph"/>
              <w:spacing w:before="0" w:beforeAutospacing="0" w:after="0" w:afterAutospacing="0"/>
              <w:textAlignment w:val="baseline"/>
              <w:rPr>
                <w:rFonts w:ascii="Cambria" w:hAnsi="Cambria" w:cstheme="minorBidi"/>
                <w:b/>
                <w:bCs/>
              </w:rPr>
            </w:pPr>
            <w:r w:rsidRPr="76DCAA32" w:rsidR="1FB2193F">
              <w:rPr>
                <w:rFonts w:ascii="Cambria" w:hAnsi="Cambria" w:cs="Arial" w:cstheme="minorBidi"/>
                <w:b w:val="1"/>
                <w:bCs w:val="1"/>
              </w:rPr>
              <w:t>Reference</w:t>
            </w:r>
          </w:p>
          <w:p w:rsidRPr="00B56665" w:rsidR="00BE47F7" w:rsidP="76DCAA32" w:rsidRDefault="2439EA69" w14:paraId="6071F449" w14:textId="56E134BC">
            <w:pPr>
              <w:pStyle w:val="Normal"/>
              <w:spacing w:before="0" w:beforeAutospacing="off" w:after="0" w:afterAutospacing="off"/>
              <w:textAlignment w:val="baseline"/>
              <w:rPr>
                <w:rFonts w:ascii="Cambria" w:hAnsi="Cambria" w:eastAsia="Cambria" w:cs="Cambria"/>
                <w:strike w:val="0"/>
                <w:dstrike w:val="0"/>
                <w:noProof w:val="0"/>
                <w:color w:val="auto"/>
                <w:sz w:val="24"/>
                <w:szCs w:val="24"/>
                <w:u w:val="none"/>
                <w:lang w:val="en-GB"/>
              </w:rPr>
            </w:pPr>
            <w:r w:rsidRPr="76DCAA32" w:rsidR="46C39F09">
              <w:rPr>
                <w:rFonts w:ascii="Cambria" w:hAnsi="Cambria" w:eastAsia="Cambria" w:cs="Cambria"/>
                <w:strike w:val="0"/>
                <w:dstrike w:val="0"/>
                <w:noProof w:val="0"/>
                <w:color w:val="auto"/>
                <w:sz w:val="24"/>
                <w:szCs w:val="24"/>
                <w:u w:val="none"/>
                <w:lang w:val="en-GB"/>
              </w:rPr>
              <w:t xml:space="preserve">Hagan, Martin &amp; McGlynn, Claire. (2004). Moving barriers: Promoting learning for diversity in </w:t>
            </w:r>
            <w:r w:rsidRPr="76DCAA32" w:rsidR="46C39F09">
              <w:rPr>
                <w:rFonts w:ascii="Cambria" w:hAnsi="Cambria" w:eastAsia="Cambria" w:cs="Cambria"/>
                <w:strike w:val="0"/>
                <w:dstrike w:val="0"/>
                <w:noProof w:val="0"/>
                <w:color w:val="auto"/>
                <w:sz w:val="24"/>
                <w:szCs w:val="24"/>
                <w:u w:val="none"/>
                <w:lang w:val="en-GB"/>
              </w:rPr>
              <w:t>initial</w:t>
            </w:r>
            <w:r w:rsidRPr="76DCAA32" w:rsidR="46C39F09">
              <w:rPr>
                <w:rFonts w:ascii="Cambria" w:hAnsi="Cambria" w:eastAsia="Cambria" w:cs="Cambria"/>
                <w:strike w:val="0"/>
                <w:dstrike w:val="0"/>
                <w:noProof w:val="0"/>
                <w:color w:val="auto"/>
                <w:sz w:val="24"/>
                <w:szCs w:val="24"/>
                <w:u w:val="none"/>
                <w:lang w:val="en-GB"/>
              </w:rPr>
              <w:t xml:space="preserve"> teacher education. Intercultural Education. 15. 243-252. 10.1080/1467598042000262545.</w:t>
            </w:r>
          </w:p>
        </w:tc>
      </w:tr>
      <w:tr w:rsidRPr="00F07217" w:rsidR="00B5000E" w:rsidTr="76DCAA32" w14:paraId="0811EF35" w14:textId="77777777">
        <w:trPr>
          <w:trHeight w:val="1080"/>
        </w:trPr>
        <w:tc>
          <w:tcPr>
            <w:tcW w:w="1790" w:type="dxa"/>
            <w:tcBorders>
              <w:top w:val="single" w:color="auto" w:sz="4" w:space="0"/>
              <w:left w:val="single" w:color="auto" w:sz="4" w:space="0"/>
              <w:bottom w:val="single" w:color="auto" w:sz="4" w:space="0"/>
              <w:right w:val="single" w:color="auto" w:sz="4" w:space="0"/>
            </w:tcBorders>
            <w:shd w:val="clear" w:color="auto" w:fill="auto"/>
            <w:tcMar/>
          </w:tcPr>
          <w:p w:rsidRPr="00523D39" w:rsidR="00B5000E" w:rsidP="00B5000E" w:rsidRDefault="00B5000E" w14:paraId="10E114CD" w14:textId="2DA3B95B">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Support for mentoring</w:t>
            </w:r>
            <w:r w:rsidRPr="00523D39" w:rsidR="00403E3F">
              <w:rPr>
                <w:rFonts w:ascii="Cambria" w:hAnsi="Cambria" w:eastAsia="Georgia" w:cs="Georgia"/>
                <w:b/>
                <w:sz w:val="20"/>
                <w:szCs w:val="20"/>
              </w:rPr>
              <w:t xml:space="preserve"> i</w:t>
            </w:r>
            <w:r w:rsidRPr="00523D39" w:rsidR="008235B7">
              <w:rPr>
                <w:rFonts w:ascii="Cambria" w:hAnsi="Cambria" w:eastAsia="Georgia" w:cs="Georgia"/>
                <w:b/>
                <w:sz w:val="20"/>
                <w:szCs w:val="20"/>
              </w:rPr>
              <w:t xml:space="preserve">n </w:t>
            </w:r>
            <w:r w:rsidRPr="00523D39" w:rsidR="00D12C87">
              <w:rPr>
                <w:rFonts w:ascii="Cambria" w:hAnsi="Cambria" w:eastAsia="Georgia" w:cs="Georgia"/>
                <w:b/>
                <w:sz w:val="20"/>
                <w:szCs w:val="20"/>
              </w:rPr>
              <w:t>this subject</w:t>
            </w:r>
          </w:p>
          <w:p w:rsidRPr="00523D39" w:rsidR="00B5000E" w:rsidP="00B5000E" w:rsidRDefault="00B5000E" w14:paraId="25E7C692" w14:textId="77777777">
            <w:pPr>
              <w:spacing w:line="237" w:lineRule="auto"/>
              <w:jc w:val="center"/>
              <w:rPr>
                <w:rFonts w:ascii="Cambria" w:hAnsi="Cambria" w:eastAsia="Georgia" w:cs="Georgia"/>
                <w:b/>
                <w:sz w:val="20"/>
                <w:szCs w:val="20"/>
              </w:rPr>
            </w:pPr>
          </w:p>
          <w:p w:rsidRPr="00523D39" w:rsidR="00B5000E" w:rsidP="00560FE2" w:rsidRDefault="00B5000E" w14:paraId="7314DB2E" w14:textId="47B98BEB">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691" w:type="dxa"/>
            <w:gridSpan w:val="11"/>
            <w:tcBorders>
              <w:top w:val="single" w:color="auto" w:sz="4" w:space="0"/>
              <w:left w:val="single" w:color="auto" w:sz="4" w:space="0"/>
              <w:bottom w:val="single" w:color="auto" w:sz="4" w:space="0"/>
              <w:right w:val="single" w:color="auto" w:sz="4" w:space="0"/>
            </w:tcBorders>
            <w:shd w:val="clear" w:color="auto" w:fill="auto"/>
            <w:tcMar/>
          </w:tcPr>
          <w:p w:rsidRPr="005F4A4E" w:rsidR="00B5000E" w:rsidP="63B9B6B1" w:rsidRDefault="1F28A724" w14:paraId="02295E43" w14:textId="642FC647">
            <w:pPr>
              <w:pStyle w:val="xmsolistparagraph"/>
              <w:shd w:val="clear" w:color="auto" w:fill="FFFFFF" w:themeFill="background1"/>
              <w:spacing w:before="0" w:beforeAutospacing="off" w:after="0" w:afterAutospacing="off"/>
              <w:jc w:val="both"/>
              <w:rPr>
                <w:rFonts w:ascii="Cambria" w:hAnsi="Cambria" w:cs="Calibri"/>
                <w:color w:val="201F1E"/>
              </w:rPr>
            </w:pPr>
            <w:r w:rsidRPr="76DCAA32" w:rsidR="78B66422">
              <w:rPr>
                <w:rFonts w:ascii="Cambria" w:hAnsi="Cambria" w:cs="Calibri"/>
                <w:color w:val="201F1E"/>
              </w:rPr>
              <w:t>The webpage "</w:t>
            </w:r>
            <w:hyperlink r:id="R5b46ada9b1a6423f">
              <w:r w:rsidRPr="76DCAA32" w:rsidR="78B66422">
                <w:rPr>
                  <w:rStyle w:val="Hyperlink"/>
                  <w:rFonts w:ascii="Cambria" w:hAnsi="Cambria" w:cs="Calibri"/>
                </w:rPr>
                <w:t xml:space="preserve">5 Keys </w:t>
              </w:r>
              <w:r w:rsidRPr="76DCAA32" w:rsidR="78B66422">
                <w:rPr>
                  <w:rStyle w:val="Hyperlink"/>
                  <w:rFonts w:ascii="Cambria" w:hAnsi="Cambria" w:cs="Calibri"/>
                </w:rPr>
                <w:t>Into</w:t>
              </w:r>
              <w:r w:rsidRPr="76DCAA32" w:rsidR="78B66422">
                <w:rPr>
                  <w:rStyle w:val="Hyperlink"/>
                  <w:rFonts w:ascii="Cambria" w:hAnsi="Cambria" w:cs="Calibri"/>
                </w:rPr>
                <w:t xml:space="preserve"> RE – Anne Krisman</w:t>
              </w:r>
            </w:hyperlink>
            <w:r w:rsidRPr="76DCAA32" w:rsidR="78B66422">
              <w:rPr>
                <w:rFonts w:ascii="Cambria" w:hAnsi="Cambria" w:cs="Calibri"/>
                <w:color w:val="201F1E"/>
              </w:rPr>
              <w:t xml:space="preserve">" on </w:t>
            </w:r>
            <w:r w:rsidRPr="76DCAA32" w:rsidR="78B66422">
              <w:rPr>
                <w:rFonts w:ascii="Cambria" w:hAnsi="Cambria" w:cs="Calibri"/>
                <w:color w:val="201F1E"/>
              </w:rPr>
              <w:t>RE:ONLINE</w:t>
            </w:r>
            <w:r w:rsidRPr="76DCAA32" w:rsidR="78B66422">
              <w:rPr>
                <w:rFonts w:ascii="Cambria" w:hAnsi="Cambria" w:cs="Calibri"/>
                <w:color w:val="201F1E"/>
              </w:rPr>
              <w:t xml:space="preserve"> presents a novel approach for planning Religious Education (RE) for pupils with special needs in English and Welsh schools. Developed by Anne Krisman and awarded for innovation, it focuses on creating a deep connection between students' </w:t>
            </w:r>
            <w:r w:rsidRPr="76DCAA32" w:rsidR="78B66422">
              <w:rPr>
                <w:rFonts w:ascii="Cambria" w:hAnsi="Cambria" w:cs="Calibri"/>
                <w:color w:val="201F1E"/>
              </w:rPr>
              <w:t>personal experiences</w:t>
            </w:r>
            <w:r w:rsidRPr="76DCAA32" w:rsidR="78B66422">
              <w:rPr>
                <w:rFonts w:ascii="Cambria" w:hAnsi="Cambria" w:cs="Calibri"/>
                <w:color w:val="201F1E"/>
              </w:rPr>
              <w:t xml:space="preserve"> and RE themes. The strategy involves five key categories: Connection, Knowledge, Senses, Symbols, and Values, each with guiding questions for teachers. This approach aims to make RE more accessible and meaningful for special needs students, </w:t>
            </w:r>
            <w:r w:rsidRPr="76DCAA32" w:rsidR="78B66422">
              <w:rPr>
                <w:rFonts w:ascii="Cambria" w:hAnsi="Cambria" w:cs="Calibri"/>
                <w:color w:val="201F1E"/>
              </w:rPr>
              <w:t>utilizing</w:t>
            </w:r>
            <w:r w:rsidRPr="76DCAA32" w:rsidR="78B66422">
              <w:rPr>
                <w:rFonts w:ascii="Cambria" w:hAnsi="Cambria" w:cs="Calibri"/>
                <w:color w:val="201F1E"/>
              </w:rPr>
              <w:t xml:space="preserve"> sensory experiences, core faith knowledge, and personal values. </w:t>
            </w:r>
            <w:r w:rsidRPr="76DCAA32" w:rsidR="78B66422">
              <w:rPr>
                <w:rFonts w:ascii="Cambria" w:hAnsi="Cambria" w:cs="Calibri"/>
                <w:color w:val="201F1E"/>
              </w:rPr>
              <w:t>It's</w:t>
            </w:r>
            <w:r w:rsidRPr="76DCAA32" w:rsidR="78B66422">
              <w:rPr>
                <w:rFonts w:ascii="Cambria" w:hAnsi="Cambria" w:cs="Calibri"/>
                <w:color w:val="201F1E"/>
              </w:rPr>
              <w:t xml:space="preserve"> potentially useful for RE teachers </w:t>
            </w:r>
            <w:r w:rsidRPr="76DCAA32" w:rsidR="78B66422">
              <w:rPr>
                <w:rFonts w:ascii="Cambria" w:hAnsi="Cambria" w:cs="Calibri"/>
                <w:color w:val="201F1E"/>
              </w:rPr>
              <w:t>seeking</w:t>
            </w:r>
            <w:r w:rsidRPr="76DCAA32" w:rsidR="78B66422">
              <w:rPr>
                <w:rFonts w:ascii="Cambria" w:hAnsi="Cambria" w:cs="Calibri"/>
                <w:color w:val="201F1E"/>
              </w:rPr>
              <w:t xml:space="preserve"> inclusive and effective strategies for diverse classrooms. </w:t>
            </w:r>
          </w:p>
        </w:tc>
      </w:tr>
      <w:tr w:rsidRPr="00F07217" w:rsidR="00403E3F" w:rsidTr="76DCAA32" w14:paraId="242BC6CD" w14:textId="77777777">
        <w:trPr>
          <w:trHeight w:val="262"/>
        </w:trPr>
        <w:tc>
          <w:tcPr>
            <w:tcW w:w="1790" w:type="dxa"/>
            <w:vMerge w:val="restart"/>
            <w:tcBorders>
              <w:top w:val="single" w:color="auto" w:sz="4" w:space="0"/>
              <w:left w:val="single" w:color="auto" w:sz="4" w:space="0"/>
              <w:right w:val="single" w:color="auto" w:sz="4" w:space="0"/>
            </w:tcBorders>
            <w:tcMar/>
          </w:tcPr>
          <w:p w:rsidRPr="00523D39" w:rsidR="00403E3F" w:rsidP="00403E3F" w:rsidRDefault="00403E3F" w14:paraId="22257974" w14:textId="53252047">
            <w:pPr>
              <w:spacing w:line="237" w:lineRule="auto"/>
              <w:jc w:val="center"/>
              <w:rPr>
                <w:rFonts w:ascii="Cambria" w:hAnsi="Cambria"/>
                <w:b/>
                <w:bCs/>
                <w:sz w:val="20"/>
                <w:szCs w:val="20"/>
              </w:rPr>
            </w:pPr>
          </w:p>
          <w:p w:rsidRPr="00523D39" w:rsidR="00403E3F" w:rsidP="00403E3F" w:rsidRDefault="00403E3F" w14:paraId="323B0429" w14:textId="77777777">
            <w:pPr>
              <w:spacing w:line="237" w:lineRule="auto"/>
              <w:jc w:val="center"/>
              <w:rPr>
                <w:rFonts w:ascii="Cambria" w:hAnsi="Cambria"/>
                <w:b/>
                <w:bCs/>
                <w:sz w:val="20"/>
                <w:szCs w:val="20"/>
              </w:rPr>
            </w:pPr>
          </w:p>
          <w:p w:rsidRPr="00523D39" w:rsidR="00403E3F" w:rsidP="00403E3F" w:rsidRDefault="00403E3F" w14:paraId="794A60FE" w14:textId="12B12DE9">
            <w:pPr>
              <w:spacing w:line="237" w:lineRule="auto"/>
              <w:jc w:val="center"/>
              <w:rPr>
                <w:rFonts w:ascii="Cambria" w:hAnsi="Cambria"/>
                <w:b/>
                <w:bCs/>
                <w:sz w:val="20"/>
                <w:szCs w:val="20"/>
              </w:rPr>
            </w:pPr>
            <w:r w:rsidRPr="00523D39">
              <w:rPr>
                <w:rFonts w:ascii="Cambria" w:hAnsi="Cambria"/>
                <w:b/>
                <w:bCs/>
                <w:sz w:val="20"/>
                <w:szCs w:val="20"/>
              </w:rPr>
              <w:t>Curriculum for the week</w:t>
            </w:r>
          </w:p>
          <w:p w:rsidRPr="00523D39" w:rsidR="00403E3F" w:rsidP="00403E3F" w:rsidRDefault="00403E3F" w14:paraId="3577F80B" w14:textId="77777777">
            <w:pPr>
              <w:rPr>
                <w:rFonts w:ascii="Cambria" w:hAnsi="Cambria"/>
                <w:sz w:val="20"/>
                <w:szCs w:val="20"/>
              </w:rPr>
            </w:pPr>
            <w:r w:rsidRPr="00523D39">
              <w:rPr>
                <w:rFonts w:ascii="Cambria" w:hAnsi="Cambria" w:eastAsia="Georgia" w:cs="Georgia"/>
                <w:sz w:val="20"/>
                <w:szCs w:val="20"/>
              </w:rPr>
              <w:t xml:space="preserve"> </w:t>
            </w:r>
          </w:p>
          <w:p w:rsidRPr="00523D39" w:rsidR="00403E3F" w:rsidP="00403E3F" w:rsidRDefault="00403E3F" w14:paraId="56739CEE" w14:textId="2D653E4C">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9034"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360ABAE5" w14:textId="3177A167">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6BF6678C" w14:textId="77777777">
            <w:pPr>
              <w:jc w:val="center"/>
              <w:rPr>
                <w:rFonts w:ascii="Cambria" w:hAnsi="Cambria"/>
                <w:b/>
                <w:bCs/>
                <w:sz w:val="20"/>
                <w:szCs w:val="20"/>
              </w:rPr>
            </w:pPr>
            <w:r w:rsidRPr="00523D39">
              <w:rPr>
                <w:rFonts w:ascii="Cambria" w:hAnsi="Cambria"/>
                <w:b/>
                <w:bCs/>
                <w:sz w:val="20"/>
                <w:szCs w:val="20"/>
              </w:rPr>
              <w:t>Y/N</w:t>
            </w:r>
          </w:p>
          <w:p w:rsidRPr="00523D39" w:rsidR="00403E3F" w:rsidP="00403E3F" w:rsidRDefault="00403E3F" w14:paraId="0E7E73C3" w14:textId="3E44AEE5">
            <w:pPr>
              <w:jc w:val="center"/>
              <w:rPr>
                <w:rFonts w:ascii="Cambria" w:hAnsi="Cambria"/>
                <w:b/>
                <w:bCs/>
                <w:sz w:val="20"/>
                <w:szCs w:val="20"/>
              </w:rPr>
            </w:pPr>
          </w:p>
        </w:tc>
      </w:tr>
      <w:tr w:rsidRPr="00F07217" w:rsidR="00CB44DE" w:rsidTr="76DCAA32" w14:paraId="75C24513" w14:textId="77777777">
        <w:trPr>
          <w:trHeight w:val="968"/>
        </w:trPr>
        <w:tc>
          <w:tcPr>
            <w:tcW w:w="1790" w:type="dxa"/>
            <w:vMerge/>
            <w:tcMar/>
          </w:tcPr>
          <w:p w:rsidRPr="00523D39" w:rsidR="00CB44DE" w:rsidP="00B5000E" w:rsidRDefault="00CB44DE" w14:paraId="38A28802" w14:textId="77777777">
            <w:pPr>
              <w:spacing w:line="237" w:lineRule="auto"/>
              <w:jc w:val="center"/>
              <w:rPr>
                <w:rFonts w:ascii="Cambria" w:hAnsi="Cambria"/>
                <w:b/>
                <w:bCs/>
                <w:sz w:val="20"/>
                <w:szCs w:val="20"/>
              </w:rPr>
            </w:pPr>
          </w:p>
        </w:tc>
        <w:tc>
          <w:tcPr>
            <w:tcW w:w="9034" w:type="dxa"/>
            <w:gridSpan w:val="10"/>
            <w:tcBorders>
              <w:top w:val="single" w:color="auto" w:sz="4" w:space="0"/>
              <w:left w:val="single" w:color="auto" w:sz="4" w:space="0"/>
              <w:bottom w:val="single" w:color="auto" w:sz="4" w:space="0"/>
              <w:right w:val="single" w:color="auto" w:sz="4" w:space="0"/>
            </w:tcBorders>
            <w:tcMar/>
          </w:tcPr>
          <w:p w:rsidRPr="00523D39" w:rsidR="00CB44DE" w:rsidP="63B9B6B1" w:rsidRDefault="00CB44DE" w14:paraId="0808D52F" w14:textId="62FE631A">
            <w:pPr>
              <w:pStyle w:val="ListParagraph"/>
              <w:numPr>
                <w:ilvl w:val="0"/>
                <w:numId w:val="8"/>
              </w:numPr>
              <w:rPr>
                <w:rFonts w:ascii="Calibri" w:hAnsi="Calibri" w:eastAsia="Calibri" w:cs="Calibri"/>
                <w:b w:val="0"/>
                <w:bCs w:val="0"/>
                <w:color w:val="000000" w:themeColor="text1" w:themeTint="FF" w:themeShade="FF"/>
                <w:sz w:val="22"/>
                <w:szCs w:val="22"/>
                <w:shd w:val="clear" w:color="auto" w:fill="FFFFFF"/>
              </w:rPr>
            </w:pPr>
            <w:r w:rsidRPr="76DCAA32" w:rsidR="6F9267C3">
              <w:rPr>
                <w:rFonts w:ascii="Calibri" w:hAnsi="Calibri" w:eastAsia="Calibri" w:cs="Calibri"/>
                <w:b w:val="0"/>
                <w:bCs w:val="0"/>
                <w:color w:val="000000" w:themeColor="text1" w:themeTint="FF" w:themeShade="FF"/>
                <w:sz w:val="22"/>
                <w:szCs w:val="22"/>
              </w:rPr>
              <w:t xml:space="preserve">Good teaching and learning </w:t>
            </w:r>
            <w:r w:rsidRPr="76DCAA32" w:rsidR="6F9267C3">
              <w:rPr>
                <w:rFonts w:ascii="Calibri" w:hAnsi="Calibri" w:eastAsia="Calibri" w:cs="Calibri"/>
                <w:b w:val="0"/>
                <w:bCs w:val="0"/>
                <w:color w:val="000000" w:themeColor="text1" w:themeTint="FF" w:themeShade="FF"/>
                <w:sz w:val="22"/>
                <w:szCs w:val="22"/>
              </w:rPr>
              <w:t>benefit</w:t>
            </w:r>
            <w:r w:rsidRPr="76DCAA32" w:rsidR="6F9267C3">
              <w:rPr>
                <w:rFonts w:ascii="Calibri" w:hAnsi="Calibri" w:eastAsia="Calibri" w:cs="Calibri"/>
                <w:b w:val="0"/>
                <w:bCs w:val="0"/>
                <w:color w:val="000000" w:themeColor="text1" w:themeTint="FF" w:themeShade="FF"/>
                <w:sz w:val="22"/>
                <w:szCs w:val="22"/>
              </w:rPr>
              <w:t xml:space="preserve"> all students. </w:t>
            </w:r>
          </w:p>
          <w:p w:rsidRPr="00523D39" w:rsidR="00CB44DE" w:rsidP="63B9B6B1" w:rsidRDefault="00CB44DE" w14:paraId="5CFD35A7" w14:textId="0EFB9E1C">
            <w:pPr>
              <w:pStyle w:val="ListParagraph"/>
              <w:numPr>
                <w:ilvl w:val="0"/>
                <w:numId w:val="8"/>
              </w:numPr>
              <w:rPr>
                <w:rFonts w:ascii="Calibri" w:hAnsi="Calibri" w:eastAsia="Calibri" w:cs="Calibri"/>
                <w:b w:val="0"/>
                <w:bCs w:val="0"/>
                <w:color w:val="000000" w:themeColor="text1" w:themeTint="FF" w:themeShade="FF"/>
                <w:sz w:val="22"/>
                <w:szCs w:val="22"/>
                <w:shd w:val="clear" w:color="auto" w:fill="FFFFFF"/>
              </w:rPr>
            </w:pPr>
            <w:r w:rsidRPr="76DCAA32" w:rsidR="6F9267C3">
              <w:rPr>
                <w:rFonts w:ascii="Calibri" w:hAnsi="Calibri" w:eastAsia="Calibri" w:cs="Calibri"/>
                <w:b w:val="0"/>
                <w:bCs w:val="0"/>
                <w:color w:val="000000" w:themeColor="text1" w:themeTint="FF" w:themeShade="FF"/>
                <w:sz w:val="22"/>
                <w:szCs w:val="22"/>
              </w:rPr>
              <w:t>Identifying</w:t>
            </w:r>
            <w:r w:rsidRPr="76DCAA32" w:rsidR="6F9267C3">
              <w:rPr>
                <w:rFonts w:ascii="Calibri" w:hAnsi="Calibri" w:eastAsia="Calibri" w:cs="Calibri"/>
                <w:b w:val="0"/>
                <w:bCs w:val="0"/>
                <w:color w:val="000000" w:themeColor="text1" w:themeTint="FF" w:themeShade="FF"/>
                <w:sz w:val="22"/>
                <w:szCs w:val="22"/>
              </w:rPr>
              <w:t xml:space="preserve"> and overcoming barriers to learning can be transformational for all learners.</w:t>
            </w:r>
          </w:p>
          <w:p w:rsidRPr="00523D39" w:rsidR="00CB44DE" w:rsidP="63B9B6B1" w:rsidRDefault="00CB44DE" w14:paraId="14E3C458" w14:textId="156C1908">
            <w:pPr>
              <w:pStyle w:val="ListParagraph"/>
              <w:numPr>
                <w:ilvl w:val="0"/>
                <w:numId w:val="8"/>
              </w:numPr>
              <w:rPr>
                <w:rFonts w:ascii="Calibri" w:hAnsi="Calibri" w:eastAsia="Calibri" w:cs="Calibri"/>
                <w:b w:val="0"/>
                <w:bCs w:val="0"/>
                <w:color w:val="000000" w:themeColor="text1" w:themeTint="FF" w:themeShade="FF"/>
                <w:sz w:val="22"/>
                <w:szCs w:val="22"/>
                <w:shd w:val="clear" w:color="auto" w:fill="FFFFFF"/>
              </w:rPr>
            </w:pPr>
            <w:r w:rsidRPr="76DCAA32" w:rsidR="6F9267C3">
              <w:rPr>
                <w:rFonts w:ascii="Calibri" w:hAnsi="Calibri" w:eastAsia="Calibri" w:cs="Calibri"/>
                <w:b w:val="0"/>
                <w:bCs w:val="0"/>
                <w:color w:val="000000" w:themeColor="text1" w:themeTint="FF" w:themeShade="FF"/>
                <w:sz w:val="22"/>
                <w:szCs w:val="22"/>
              </w:rPr>
              <w:t xml:space="preserve">Developing strategies to support students who are struggling within the classroom is crucial. </w:t>
            </w:r>
          </w:p>
          <w:p w:rsidRPr="00523D39" w:rsidR="00CB44DE" w:rsidP="63B9B6B1" w:rsidRDefault="00CB44DE" w14:paraId="4E488AE5" w14:textId="027C7B5B">
            <w:pPr>
              <w:pStyle w:val="ListParagraph"/>
              <w:numPr>
                <w:ilvl w:val="0"/>
                <w:numId w:val="8"/>
              </w:numPr>
              <w:rPr>
                <w:rFonts w:ascii="Calibri" w:hAnsi="Calibri" w:eastAsia="Calibri" w:cs="Calibri"/>
                <w:b w:val="0"/>
                <w:bCs w:val="0"/>
                <w:color w:val="000000" w:themeColor="text1" w:themeTint="FF" w:themeShade="FF"/>
                <w:sz w:val="22"/>
                <w:szCs w:val="22"/>
                <w:shd w:val="clear" w:color="auto" w:fill="FFFFFF"/>
              </w:rPr>
            </w:pPr>
            <w:r w:rsidRPr="76DCAA32" w:rsidR="6F9267C3">
              <w:rPr>
                <w:rFonts w:ascii="Calibri" w:hAnsi="Calibri" w:eastAsia="Calibri" w:cs="Calibri"/>
                <w:b w:val="0"/>
                <w:bCs w:val="0"/>
                <w:color w:val="000000" w:themeColor="text1" w:themeTint="FF" w:themeShade="FF"/>
                <w:sz w:val="22"/>
                <w:szCs w:val="22"/>
              </w:rPr>
              <w:t xml:space="preserve">Adapting teaching (rather than differentiation) to the needs of students can </w:t>
            </w:r>
            <w:r w:rsidRPr="76DCAA32" w:rsidR="6F9267C3">
              <w:rPr>
                <w:rFonts w:ascii="Calibri" w:hAnsi="Calibri" w:eastAsia="Calibri" w:cs="Calibri"/>
                <w:b w:val="0"/>
                <w:bCs w:val="0"/>
                <w:color w:val="000000" w:themeColor="text1" w:themeTint="FF" w:themeShade="FF"/>
                <w:sz w:val="22"/>
                <w:szCs w:val="22"/>
              </w:rPr>
              <w:t>impact</w:t>
            </w:r>
            <w:r w:rsidRPr="76DCAA32" w:rsidR="6F9267C3">
              <w:rPr>
                <w:rFonts w:ascii="Calibri" w:hAnsi="Calibri" w:eastAsia="Calibri" w:cs="Calibri"/>
                <w:b w:val="0"/>
                <w:bCs w:val="0"/>
                <w:color w:val="000000" w:themeColor="text1" w:themeTint="FF" w:themeShade="FF"/>
                <w:sz w:val="22"/>
                <w:szCs w:val="22"/>
              </w:rPr>
              <w:t xml:space="preserve"> upon outcomes</w:t>
            </w:r>
          </w:p>
        </w:tc>
        <w:tc>
          <w:tcPr>
            <w:tcW w:w="657" w:type="dxa"/>
            <w:tcBorders>
              <w:top w:val="single" w:color="auto" w:sz="4" w:space="0"/>
              <w:left w:val="single" w:color="auto" w:sz="4" w:space="0"/>
              <w:bottom w:val="single" w:color="auto" w:sz="4" w:space="0"/>
              <w:right w:val="single" w:color="auto" w:sz="4" w:space="0"/>
            </w:tcBorders>
            <w:tcMar/>
          </w:tcPr>
          <w:p w:rsidRPr="00523D39" w:rsidR="00CB44DE" w:rsidP="003324D5" w:rsidRDefault="00CB44DE" w14:paraId="500548AF" w14:textId="77777777">
            <w:pPr>
              <w:jc w:val="center"/>
              <w:rPr>
                <w:rFonts w:ascii="Cambria" w:hAnsi="Cambria"/>
                <w:sz w:val="20"/>
                <w:szCs w:val="20"/>
              </w:rPr>
            </w:pPr>
          </w:p>
        </w:tc>
      </w:tr>
      <w:tr w:rsidRPr="00F07217" w:rsidR="00CB44DE" w:rsidTr="76DCAA32" w14:paraId="365EFF71" w14:textId="77777777">
        <w:trPr>
          <w:trHeight w:val="152"/>
        </w:trPr>
        <w:tc>
          <w:tcPr>
            <w:tcW w:w="1790" w:type="dxa"/>
            <w:vMerge/>
            <w:tcMar/>
          </w:tcPr>
          <w:p w:rsidRPr="00523D39" w:rsidR="00CB44DE" w:rsidP="00D7386B" w:rsidRDefault="00CB44DE" w14:paraId="39E4C718" w14:textId="77777777">
            <w:pPr>
              <w:spacing w:line="237" w:lineRule="auto"/>
              <w:jc w:val="center"/>
              <w:rPr>
                <w:rFonts w:ascii="Cambria" w:hAnsi="Cambria"/>
                <w:b/>
                <w:bCs/>
                <w:sz w:val="20"/>
                <w:szCs w:val="20"/>
              </w:rPr>
            </w:pPr>
          </w:p>
        </w:tc>
        <w:tc>
          <w:tcPr>
            <w:tcW w:w="9034"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D7386B" w:rsidRDefault="00CB44DE" w14:paraId="4AA9EA46" w14:textId="06BEEB12">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3324D5" w:rsidRDefault="00CB44DE" w14:paraId="5E1B72E3" w14:textId="77777777">
            <w:pPr>
              <w:jc w:val="center"/>
              <w:rPr>
                <w:rFonts w:ascii="Cambria" w:hAnsi="Cambria"/>
                <w:b/>
                <w:bCs/>
                <w:sz w:val="20"/>
                <w:szCs w:val="20"/>
              </w:rPr>
            </w:pPr>
            <w:r w:rsidRPr="00523D39">
              <w:rPr>
                <w:rFonts w:ascii="Cambria" w:hAnsi="Cambria"/>
                <w:b/>
                <w:bCs/>
                <w:sz w:val="20"/>
                <w:szCs w:val="20"/>
              </w:rPr>
              <w:t>Y/N</w:t>
            </w:r>
          </w:p>
          <w:p w:rsidRPr="00523D39" w:rsidR="00CB44DE" w:rsidP="003324D5" w:rsidRDefault="00CB44DE" w14:paraId="18B6C2E1" w14:textId="115AA463">
            <w:pPr>
              <w:jc w:val="center"/>
              <w:rPr>
                <w:rFonts w:ascii="Cambria" w:hAnsi="Cambria"/>
                <w:b/>
                <w:bCs/>
                <w:sz w:val="20"/>
                <w:szCs w:val="20"/>
              </w:rPr>
            </w:pPr>
          </w:p>
        </w:tc>
      </w:tr>
      <w:tr w:rsidRPr="00F07217" w:rsidR="00CB44DE" w:rsidTr="76DCAA32" w14:paraId="0B2BB01B" w14:textId="77777777">
        <w:trPr>
          <w:trHeight w:val="152"/>
        </w:trPr>
        <w:tc>
          <w:tcPr>
            <w:tcW w:w="1790" w:type="dxa"/>
            <w:vMerge/>
            <w:tcMar/>
          </w:tcPr>
          <w:p w:rsidRPr="00523D39" w:rsidR="00CB44DE" w:rsidP="00D7386B" w:rsidRDefault="00CB44DE" w14:paraId="6816228A" w14:textId="77777777">
            <w:pPr>
              <w:spacing w:line="237" w:lineRule="auto"/>
              <w:jc w:val="center"/>
              <w:rPr>
                <w:rFonts w:ascii="Cambria" w:hAnsi="Cambria"/>
                <w:b/>
                <w:bCs/>
                <w:sz w:val="20"/>
                <w:szCs w:val="20"/>
              </w:rPr>
            </w:pPr>
          </w:p>
        </w:tc>
        <w:tc>
          <w:tcPr>
            <w:tcW w:w="9034" w:type="dxa"/>
            <w:gridSpan w:val="10"/>
            <w:tcBorders>
              <w:top w:val="single" w:color="auto" w:sz="4" w:space="0"/>
              <w:left w:val="single" w:color="auto" w:sz="4" w:space="0"/>
              <w:bottom w:val="single" w:color="auto" w:sz="4" w:space="0"/>
              <w:right w:val="single" w:color="auto" w:sz="4" w:space="0"/>
            </w:tcBorders>
            <w:tcMar/>
          </w:tcPr>
          <w:p w:rsidRPr="00523D39" w:rsidR="00CB44DE" w:rsidP="76DCAA32" w:rsidRDefault="3239FECD" w14:paraId="6F900687" w14:textId="1A422AAA">
            <w:pPr>
              <w:pStyle w:val="ListParagraph"/>
              <w:numPr>
                <w:ilvl w:val="0"/>
                <w:numId w:val="6"/>
              </w:numPr>
              <w:rPr>
                <w:rFonts w:ascii="Calibri" w:hAnsi="Calibri" w:eastAsia="Calibri" w:cs="Calibri"/>
                <w:b w:val="0"/>
                <w:bCs w:val="0"/>
                <w:color w:val="000000" w:themeColor="text1" w:themeTint="FF" w:themeShade="FF"/>
                <w:sz w:val="22"/>
                <w:szCs w:val="22"/>
              </w:rPr>
            </w:pPr>
            <w:r w:rsidRPr="76DCAA32" w:rsidR="5BE71FDD">
              <w:rPr>
                <w:rFonts w:ascii="Calibri" w:hAnsi="Calibri" w:eastAsia="Calibri" w:cs="Calibri"/>
                <w:b w:val="0"/>
                <w:bCs w:val="0"/>
                <w:color w:val="000000" w:themeColor="text1" w:themeTint="FF" w:themeShade="FF"/>
                <w:sz w:val="22"/>
                <w:szCs w:val="22"/>
              </w:rPr>
              <w:t xml:space="preserve">Recognise and remove barriers to learning for students in the classroom. </w:t>
            </w:r>
          </w:p>
          <w:p w:rsidRPr="00523D39" w:rsidR="00CB44DE" w:rsidP="76DCAA32" w:rsidRDefault="3239FECD" w14:paraId="1D867E92" w14:textId="2B20BCD9">
            <w:pPr>
              <w:pStyle w:val="ListParagraph"/>
              <w:numPr>
                <w:ilvl w:val="0"/>
                <w:numId w:val="6"/>
              </w:numPr>
              <w:rPr>
                <w:rFonts w:ascii="Calibri" w:hAnsi="Calibri" w:eastAsia="Calibri" w:cs="Calibri"/>
                <w:b w:val="0"/>
                <w:bCs w:val="0"/>
                <w:color w:val="000000" w:themeColor="text1" w:themeTint="FF" w:themeShade="FF"/>
                <w:sz w:val="22"/>
                <w:szCs w:val="22"/>
              </w:rPr>
            </w:pPr>
            <w:r w:rsidRPr="76DCAA32" w:rsidR="5BE71FDD">
              <w:rPr>
                <w:rFonts w:ascii="Calibri" w:hAnsi="Calibri" w:eastAsia="Calibri" w:cs="Calibri"/>
                <w:b w:val="0"/>
                <w:bCs w:val="0"/>
                <w:color w:val="000000" w:themeColor="text1" w:themeTint="FF" w:themeShade="FF"/>
                <w:sz w:val="22"/>
                <w:szCs w:val="22"/>
              </w:rPr>
              <w:t>Develop strategies and practice to support</w:t>
            </w:r>
          </w:p>
          <w:p w:rsidRPr="00523D39" w:rsidR="00CB44DE" w:rsidP="76DCAA32" w:rsidRDefault="3239FECD" w14:paraId="3437E904" w14:textId="5A2A5DC6">
            <w:pPr>
              <w:pStyle w:val="Normal"/>
              <w:ind w:left="0"/>
              <w:rPr>
                <w:rFonts w:ascii="Calibri" w:hAnsi="Calibri" w:eastAsia="Calibri" w:cs="Calibri"/>
                <w:b w:val="0"/>
                <w:bCs w:val="0"/>
                <w:color w:val="000000" w:themeColor="text1" w:themeTint="FF" w:themeShade="FF"/>
                <w:sz w:val="22"/>
                <w:szCs w:val="22"/>
              </w:rPr>
            </w:pPr>
          </w:p>
        </w:tc>
        <w:tc>
          <w:tcPr>
            <w:tcW w:w="657" w:type="dxa"/>
            <w:tcBorders>
              <w:top w:val="single" w:color="auto" w:sz="4" w:space="0"/>
              <w:left w:val="single" w:color="auto" w:sz="4" w:space="0"/>
              <w:bottom w:val="single" w:color="auto" w:sz="4" w:space="0"/>
              <w:right w:val="single" w:color="auto" w:sz="4" w:space="0"/>
            </w:tcBorders>
            <w:tcMar/>
          </w:tcPr>
          <w:p w:rsidRPr="00523D39" w:rsidR="00CB44DE" w:rsidP="00D7386B" w:rsidRDefault="00CB44DE" w14:paraId="5FF312F8" w14:textId="77777777">
            <w:pPr>
              <w:rPr>
                <w:rFonts w:ascii="Cambria" w:hAnsi="Cambria"/>
                <w:b/>
                <w:bCs/>
                <w:sz w:val="20"/>
                <w:szCs w:val="20"/>
              </w:rPr>
            </w:pPr>
          </w:p>
        </w:tc>
      </w:tr>
      <w:tr w:rsidRPr="00F07217" w:rsidR="00B5000E" w:rsidTr="76DCAA32" w14:paraId="3CEA7B26" w14:textId="77777777">
        <w:trPr>
          <w:trHeight w:val="2380"/>
        </w:trPr>
        <w:tc>
          <w:tcPr>
            <w:tcW w:w="1790" w:type="dxa"/>
            <w:tcBorders>
              <w:top w:val="single" w:color="auto" w:sz="4" w:space="0"/>
              <w:left w:val="single" w:color="auto" w:sz="4" w:space="0"/>
              <w:bottom w:val="single" w:color="auto" w:sz="4" w:space="0"/>
              <w:right w:val="single" w:color="auto" w:sz="4" w:space="0"/>
            </w:tcBorders>
            <w:tcMar/>
          </w:tcPr>
          <w:p w:rsidRPr="00523D39" w:rsidR="00B5000E" w:rsidP="6C53551C" w:rsidRDefault="2E467C1C" w14:paraId="2B69B659" w14:textId="42685D17">
            <w:pPr>
              <w:spacing w:line="237" w:lineRule="auto"/>
              <w:jc w:val="center"/>
              <w:rPr>
                <w:rFonts w:ascii="Cambria" w:hAnsi="Cambria" w:eastAsia="Georgia" w:cs="Georgia"/>
                <w:b/>
                <w:bCs/>
              </w:rPr>
            </w:pPr>
            <w:r w:rsidRPr="6C53551C">
              <w:rPr>
                <w:rFonts w:ascii="Cambria" w:hAnsi="Cambria" w:eastAsia="Georgia" w:cs="Georgia"/>
                <w:b/>
                <w:bCs/>
              </w:rPr>
              <w:t xml:space="preserve">Questions for mentor and trainee to discuss in mentor meeting       </w:t>
            </w:r>
            <w:r>
              <w:rPr>
                <w:noProof/>
              </w:rPr>
              <w:drawing>
                <wp:inline distT="0" distB="0" distL="0" distR="0" wp14:anchorId="33196FB2" wp14:editId="6F0211A4">
                  <wp:extent cx="419100" cy="633311"/>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419100" cy="633311"/>
                          </a:xfrm>
                          <a:prstGeom prst="rect">
                            <a:avLst/>
                          </a:prstGeom>
                        </pic:spPr>
                      </pic:pic>
                    </a:graphicData>
                  </a:graphic>
                </wp:inline>
              </w:drawing>
            </w:r>
          </w:p>
        </w:tc>
        <w:tc>
          <w:tcPr>
            <w:tcW w:w="9691" w:type="dxa"/>
            <w:gridSpan w:val="11"/>
            <w:tcBorders>
              <w:top w:val="single" w:color="auto" w:sz="4" w:space="0"/>
              <w:left w:val="single" w:color="auto" w:sz="4" w:space="0"/>
              <w:bottom w:val="single" w:color="auto" w:sz="4" w:space="0"/>
              <w:right w:val="single" w:color="auto" w:sz="4" w:space="0"/>
            </w:tcBorders>
            <w:tcMar/>
          </w:tcPr>
          <w:p w:rsidRPr="00523D39" w:rsidR="00B5000E" w:rsidP="76DCAA32" w:rsidRDefault="2E467C1C" w14:paraId="2410B88D" w14:textId="27494331">
            <w:pPr>
              <w:pBdr>
                <w:top w:val="nil" w:color="000000" w:sz="0" w:space="0"/>
                <w:left w:val="nil" w:color="000000" w:sz="0" w:space="0"/>
                <w:bottom w:val="nil" w:color="000000" w:sz="0" w:space="0"/>
                <w:right w:val="nil" w:color="000000" w:sz="0" w:space="0"/>
                <w:between w:val="nil" w:color="000000" w:sz="0" w:space="0"/>
              </w:pBdr>
              <w:jc w:val="both"/>
              <w:rPr>
                <w:rFonts w:ascii="Cambria" w:hAnsi="Cambria"/>
                <w:b w:val="1"/>
                <w:bCs w:val="1"/>
              </w:rPr>
            </w:pPr>
            <w:r w:rsidRPr="76DCAA32" w:rsidR="2E467C1C">
              <w:rPr>
                <w:rFonts w:ascii="Cambria" w:hAnsi="Cambria"/>
                <w:b w:val="1"/>
                <w:bCs w:val="1"/>
              </w:rPr>
              <w:t>Q1:</w:t>
            </w:r>
            <w:r w:rsidRPr="76DCAA32" w:rsidR="41F9C91E">
              <w:rPr>
                <w:rFonts w:ascii="Cambria" w:hAnsi="Cambria"/>
                <w:b w:val="1"/>
                <w:bCs w:val="1"/>
              </w:rPr>
              <w:t xml:space="preserve"> </w:t>
            </w:r>
            <w:r w:rsidRPr="76DCAA32" w:rsidR="09D95EC7">
              <w:rPr>
                <w:rFonts w:ascii="Cambria" w:hAnsi="Cambria"/>
                <w:b w:val="1"/>
                <w:bCs w:val="1"/>
              </w:rPr>
              <w:t xml:space="preserve">What educational barriers exist for the students you are </w:t>
            </w:r>
            <w:r w:rsidRPr="76DCAA32" w:rsidR="09D95EC7">
              <w:rPr>
                <w:rFonts w:ascii="Cambria" w:hAnsi="Cambria"/>
                <w:b w:val="1"/>
                <w:bCs w:val="1"/>
              </w:rPr>
              <w:t>observing</w:t>
            </w:r>
            <w:r w:rsidRPr="76DCAA32" w:rsidR="09D95EC7">
              <w:rPr>
                <w:rFonts w:ascii="Cambria" w:hAnsi="Cambria"/>
                <w:b w:val="1"/>
                <w:bCs w:val="1"/>
              </w:rPr>
              <w:t xml:space="preserve"> and teaching?</w:t>
            </w:r>
          </w:p>
          <w:p w:rsidRPr="00523D39" w:rsidR="00B5000E" w:rsidP="63B9B6B1" w:rsidRDefault="2E467C1C" w14:paraId="2FCBDA67" w14:textId="1FB16D71">
            <w:pPr>
              <w:pBdr>
                <w:top w:val="nil" w:color="000000" w:sz="0" w:space="0"/>
                <w:left w:val="nil" w:color="000000" w:sz="0" w:space="0"/>
                <w:bottom w:val="nil" w:color="000000" w:sz="0" w:space="0"/>
                <w:right w:val="nil" w:color="000000" w:sz="0" w:space="0"/>
                <w:between w:val="nil" w:color="000000" w:sz="0" w:space="0"/>
              </w:pBdr>
              <w:jc w:val="both"/>
              <w:rPr>
                <w:rFonts w:ascii="Cambria" w:hAnsi="Cambria"/>
                <w:b w:val="1"/>
                <w:bCs w:val="1"/>
              </w:rPr>
            </w:pPr>
            <w:r w:rsidRPr="63B9B6B1" w:rsidR="2E467C1C">
              <w:rPr>
                <w:rFonts w:ascii="Cambria" w:hAnsi="Cambria"/>
                <w:b w:val="1"/>
                <w:bCs w:val="1"/>
              </w:rPr>
              <w:t>Mentor summary of trainee response:</w:t>
            </w:r>
          </w:p>
          <w:p w:rsidR="00B5000E" w:rsidP="6C53551C" w:rsidRDefault="00B5000E" w14:paraId="52369B8A" w14:textId="77777777">
            <w:pPr>
              <w:pBdr>
                <w:top w:val="nil"/>
                <w:left w:val="nil"/>
                <w:bottom w:val="nil"/>
                <w:right w:val="nil"/>
                <w:between w:val="nil"/>
              </w:pBdr>
              <w:ind w:left="720"/>
              <w:jc w:val="both"/>
              <w:rPr>
                <w:rFonts w:ascii="Cambria" w:hAnsi="Cambria"/>
                <w:b/>
                <w:bCs/>
              </w:rPr>
            </w:pPr>
          </w:p>
          <w:p w:rsidRPr="00523D39" w:rsidR="005F4A4E" w:rsidP="6C53551C" w:rsidRDefault="005F4A4E" w14:paraId="100E8A0E" w14:textId="77777777">
            <w:pPr>
              <w:pBdr>
                <w:top w:val="nil"/>
                <w:left w:val="nil"/>
                <w:bottom w:val="nil"/>
                <w:right w:val="nil"/>
                <w:between w:val="nil"/>
              </w:pBdr>
              <w:ind w:left="720"/>
              <w:jc w:val="both"/>
              <w:rPr>
                <w:rFonts w:ascii="Cambria" w:hAnsi="Cambria"/>
                <w:b/>
                <w:bCs/>
              </w:rPr>
            </w:pPr>
          </w:p>
          <w:p w:rsidR="2E467C1C" w:rsidP="76DCAA32" w:rsidRDefault="2E467C1C" w14:paraId="35E74AF4" w14:textId="7F2C9D3D">
            <w:pPr>
              <w:pStyle w:val="Normal"/>
              <w:pBdr>
                <w:top w:val="nil" w:color="000000" w:sz="0" w:space="0"/>
                <w:left w:val="nil" w:color="000000" w:sz="0" w:space="0"/>
                <w:bottom w:val="nil" w:color="000000" w:sz="0" w:space="0"/>
                <w:right w:val="nil" w:color="000000" w:sz="0" w:space="0"/>
                <w:between w:val="nil" w:color="000000" w:sz="0" w:space="0"/>
              </w:pBdr>
              <w:jc w:val="both"/>
              <w:rPr>
                <w:rFonts w:ascii="Cambria" w:hAnsi="Cambria"/>
                <w:b w:val="1"/>
                <w:bCs w:val="1"/>
              </w:rPr>
            </w:pPr>
            <w:r w:rsidRPr="76DCAA32" w:rsidR="2E467C1C">
              <w:rPr>
                <w:rFonts w:ascii="Cambria" w:hAnsi="Cambria"/>
                <w:b w:val="1"/>
                <w:bCs w:val="1"/>
              </w:rPr>
              <w:t>Q2:</w:t>
            </w:r>
            <w:r w:rsidRPr="76DCAA32" w:rsidR="41F9C91E">
              <w:rPr>
                <w:rFonts w:ascii="Cambria" w:hAnsi="Cambria"/>
                <w:b w:val="1"/>
                <w:bCs w:val="1"/>
              </w:rPr>
              <w:t xml:space="preserve"> </w:t>
            </w:r>
            <w:r w:rsidRPr="76DCAA32" w:rsidR="2A86EC2E">
              <w:rPr>
                <w:rFonts w:ascii="Cambria" w:hAnsi="Cambria"/>
                <w:b w:val="1"/>
                <w:bCs w:val="1"/>
              </w:rPr>
              <w:t>Why is adaptive teaching crucial to removing those barriers</w:t>
            </w:r>
          </w:p>
          <w:p w:rsidRPr="00523D39" w:rsidR="00B5000E" w:rsidP="6C53551C" w:rsidRDefault="2E467C1C" w14:paraId="22BB80EE" w14:textId="77777777">
            <w:pPr>
              <w:pBdr>
                <w:top w:val="nil"/>
                <w:left w:val="nil"/>
                <w:bottom w:val="nil"/>
                <w:right w:val="nil"/>
                <w:between w:val="nil"/>
              </w:pBdr>
              <w:jc w:val="both"/>
              <w:rPr>
                <w:rFonts w:ascii="Cambria" w:hAnsi="Cambria"/>
                <w:b/>
                <w:bCs/>
              </w:rPr>
            </w:pPr>
            <w:r w:rsidRPr="6C53551C">
              <w:rPr>
                <w:rFonts w:ascii="Cambria" w:hAnsi="Cambria"/>
                <w:b/>
                <w:bCs/>
              </w:rPr>
              <w:t>Mentor summary of trainee response:</w:t>
            </w:r>
          </w:p>
          <w:p w:rsidRPr="00523D39" w:rsidR="008B1D2B" w:rsidP="6C53551C" w:rsidRDefault="008B1D2B" w14:paraId="11852BB5" w14:textId="27192A8F">
            <w:pPr>
              <w:pBdr>
                <w:top w:val="nil"/>
                <w:left w:val="nil"/>
                <w:bottom w:val="nil"/>
                <w:right w:val="nil"/>
                <w:between w:val="nil"/>
              </w:pBdr>
              <w:jc w:val="both"/>
              <w:rPr>
                <w:rFonts w:ascii="Cambria" w:hAnsi="Cambria"/>
              </w:rPr>
            </w:pPr>
          </w:p>
        </w:tc>
      </w:tr>
      <w:tr w:rsidRPr="00F07217" w:rsidR="00B5000E" w:rsidTr="76DCAA32" w14:paraId="69758A50" w14:textId="77777777">
        <w:trPr>
          <w:trHeight w:val="1676"/>
        </w:trPr>
        <w:tc>
          <w:tcPr>
            <w:tcW w:w="1790" w:type="dxa"/>
            <w:tcBorders>
              <w:top w:val="single" w:color="auto" w:sz="4" w:space="0"/>
              <w:left w:val="single" w:color="auto" w:sz="4" w:space="0"/>
              <w:bottom w:val="single" w:color="auto" w:sz="4" w:space="0"/>
              <w:right w:val="single" w:color="auto" w:sz="4" w:space="0"/>
            </w:tcBorders>
            <w:tcMar/>
          </w:tcPr>
          <w:p w:rsidRPr="00523D39" w:rsidR="00B5000E" w:rsidP="00B5000E" w:rsidRDefault="00B5000E" w14:paraId="6D3D2A77" w14:textId="77777777">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Additional notes from mentor meeting</w:t>
            </w:r>
          </w:p>
          <w:p w:rsidRPr="00523D39" w:rsidR="00560FE2" w:rsidP="00B5000E" w:rsidRDefault="00A27B4C" w14:paraId="788494D3" w14:textId="658111FE">
            <w:pPr>
              <w:spacing w:line="237" w:lineRule="auto"/>
              <w:jc w:val="center"/>
              <w:rPr>
                <w:rFonts w:ascii="Cambria" w:hAnsi="Cambria" w:eastAsia="Georg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rsidRPr="00523D39" w:rsidR="00560FE2" w:rsidP="00B5000E" w:rsidRDefault="00560FE2" w14:paraId="5B450E15" w14:textId="55099F9D">
            <w:pPr>
              <w:spacing w:line="237" w:lineRule="auto"/>
              <w:jc w:val="center"/>
              <w:rPr>
                <w:rFonts w:ascii="Cambria" w:hAnsi="Cambria" w:eastAsia="Georgia" w:cs="Georgia"/>
                <w:b/>
                <w:sz w:val="20"/>
                <w:szCs w:val="20"/>
              </w:rPr>
            </w:pPr>
          </w:p>
        </w:tc>
        <w:tc>
          <w:tcPr>
            <w:tcW w:w="9691" w:type="dxa"/>
            <w:gridSpan w:val="11"/>
            <w:tcBorders>
              <w:top w:val="single" w:color="auto" w:sz="4" w:space="0"/>
              <w:left w:val="single" w:color="auto" w:sz="4" w:space="0"/>
              <w:bottom w:val="single" w:color="auto" w:sz="4" w:space="0"/>
              <w:right w:val="single" w:color="auto" w:sz="4" w:space="0"/>
            </w:tcBorders>
            <w:tcMar/>
          </w:tcPr>
          <w:p w:rsidRPr="00523D39" w:rsidR="00B5000E" w:rsidP="00B5000E" w:rsidRDefault="00E5003C" w14:paraId="2A346587" w14:textId="44948548">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Pr="00523D39" w:rsidR="00AB1862">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Pr="00523D39" w:rsidR="00AB1862">
              <w:rPr>
                <w:rFonts w:ascii="Cambria" w:hAnsi="Cambria" w:cs="Calibri"/>
                <w:color w:val="201F1E"/>
                <w:sz w:val="20"/>
                <w:szCs w:val="20"/>
              </w:rPr>
              <w:t xml:space="preserve">, </w:t>
            </w:r>
            <w:r w:rsidRPr="00523D39">
              <w:rPr>
                <w:rFonts w:ascii="Cambria" w:hAnsi="Cambria" w:cs="Calibri"/>
                <w:color w:val="201F1E"/>
                <w:sz w:val="20"/>
                <w:szCs w:val="20"/>
              </w:rPr>
              <w:t>relevant CPD</w:t>
            </w:r>
            <w:r w:rsidRPr="00523D39" w:rsidR="00AB1862">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rsidRPr="00523D39" w:rsidR="00B5000E" w:rsidP="00B5000E" w:rsidRDefault="00B5000E" w14:paraId="399FF43D" w14:textId="77777777">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7417A361" w14:textId="49E3B7D3">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ED7F194" w14:textId="45A6050C">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33A2A4D" w14:textId="1C9AE883">
            <w:pPr>
              <w:pStyle w:val="xmsolistparagraph"/>
              <w:shd w:val="clear" w:color="auto" w:fill="FFFFFF"/>
              <w:spacing w:before="0" w:beforeAutospacing="0" w:after="0" w:afterAutospacing="0"/>
              <w:ind w:left="720"/>
              <w:rPr>
                <w:rFonts w:ascii="Cambria" w:hAnsi="Cambria" w:cs="Calibri"/>
                <w:color w:val="201F1E"/>
                <w:sz w:val="20"/>
                <w:szCs w:val="20"/>
              </w:rPr>
            </w:pPr>
          </w:p>
        </w:tc>
      </w:tr>
      <w:tr w:rsidRPr="00F07217" w:rsidR="00581390" w:rsidTr="76DCAA32" w14:paraId="4D4EF814" w14:textId="77777777">
        <w:trPr>
          <w:trHeight w:val="602"/>
        </w:trPr>
        <w:tc>
          <w:tcPr>
            <w:tcW w:w="1790" w:type="dxa"/>
            <w:vMerge w:val="restart"/>
            <w:tcBorders>
              <w:top w:val="single" w:color="auto" w:sz="4" w:space="0"/>
              <w:left w:val="single" w:color="auto" w:sz="4" w:space="0"/>
              <w:right w:val="single" w:color="auto" w:sz="4" w:space="0"/>
            </w:tcBorders>
            <w:tcMar/>
          </w:tcPr>
          <w:p w:rsidRPr="00523D39" w:rsidR="00581390" w:rsidP="00B5000E" w:rsidRDefault="00581390" w14:paraId="1E3F347B" w14:textId="633E03BE">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color="auto" w:sz="4" w:space="0"/>
              <w:left w:val="single" w:color="auto" w:sz="4" w:space="0"/>
              <w:bottom w:val="single" w:color="auto" w:sz="4" w:space="0"/>
              <w:right w:val="single" w:color="auto" w:sz="4" w:space="0"/>
            </w:tcBorders>
            <w:tcMar/>
          </w:tcPr>
          <w:p w:rsidRPr="00ED360A" w:rsidR="00581390" w:rsidP="00ED360A" w:rsidRDefault="00581390" w14:paraId="446404A2" w14:textId="77777777">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99"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79CD1FEE" w14:textId="26B106D7">
            <w:pPr>
              <w:jc w:val="center"/>
              <w:rPr>
                <w:rFonts w:ascii="Cambria" w:hAnsi="Cambria"/>
                <w:b/>
                <w:bCs/>
                <w:sz w:val="20"/>
                <w:szCs w:val="20"/>
              </w:rPr>
            </w:pPr>
            <w:r w:rsidRPr="00523D39">
              <w:rPr>
                <w:rFonts w:ascii="Cambria" w:hAnsi="Cambria"/>
                <w:b/>
                <w:bCs/>
                <w:sz w:val="20"/>
                <w:szCs w:val="20"/>
              </w:rPr>
              <w:t>Y/N</w:t>
            </w:r>
          </w:p>
        </w:tc>
      </w:tr>
      <w:tr w:rsidRPr="00F07217" w:rsidR="00581390" w:rsidTr="76DCAA32" w14:paraId="4C9AB2A3" w14:textId="77777777">
        <w:trPr>
          <w:trHeight w:val="602"/>
        </w:trPr>
        <w:tc>
          <w:tcPr>
            <w:tcW w:w="1790" w:type="dxa"/>
            <w:vMerge/>
            <w:tcMar/>
          </w:tcPr>
          <w:p w:rsidRPr="00523D39" w:rsidR="00581390" w:rsidP="00B5000E" w:rsidRDefault="00581390" w14:paraId="286FBCB0" w14:textId="77777777">
            <w:pPr>
              <w:spacing w:line="237" w:lineRule="auto"/>
              <w:jc w:val="center"/>
              <w:rPr>
                <w:rFonts w:ascii="Cambria" w:hAnsi="Cambria" w:eastAsia="Georgia" w:cs="Georgia"/>
                <w:b/>
                <w:sz w:val="20"/>
                <w:szCs w:val="20"/>
              </w:rPr>
            </w:pPr>
          </w:p>
        </w:tc>
        <w:tc>
          <w:tcPr>
            <w:tcW w:w="9691" w:type="dxa"/>
            <w:gridSpan w:val="11"/>
            <w:tcBorders>
              <w:top w:val="single" w:color="auto" w:sz="4" w:space="0"/>
              <w:left w:val="single" w:color="auto" w:sz="4" w:space="0"/>
              <w:bottom w:val="single" w:color="auto" w:sz="4" w:space="0"/>
              <w:right w:val="single" w:color="auto" w:sz="4" w:space="0"/>
            </w:tcBorders>
            <w:tcMar/>
          </w:tcPr>
          <w:p w:rsidRPr="002073B3" w:rsidR="00581390" w:rsidP="00B5000E" w:rsidRDefault="00581390" w14:paraId="61A68720" w14:textId="3D481725">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581390" w:rsidTr="76DCAA32" w14:paraId="221DFBA4" w14:textId="77777777">
        <w:trPr>
          <w:trHeight w:val="602"/>
        </w:trPr>
        <w:tc>
          <w:tcPr>
            <w:tcW w:w="1790" w:type="dxa"/>
            <w:vMerge/>
            <w:tcMar/>
          </w:tcPr>
          <w:p w:rsidRPr="00523D39" w:rsidR="00581390" w:rsidP="00B5000E" w:rsidRDefault="00581390" w14:paraId="1FABDBA3" w14:textId="77777777">
            <w:pPr>
              <w:spacing w:line="237" w:lineRule="auto"/>
              <w:jc w:val="center"/>
              <w:rPr>
                <w:rFonts w:ascii="Cambria" w:hAnsi="Cambria" w:eastAsia="Georgia" w:cs="Georgia"/>
                <w:b/>
                <w:sz w:val="20"/>
                <w:szCs w:val="20"/>
              </w:rPr>
            </w:pPr>
          </w:p>
        </w:tc>
        <w:tc>
          <w:tcPr>
            <w:tcW w:w="8892" w:type="dxa"/>
            <w:gridSpan w:val="9"/>
            <w:tcBorders>
              <w:top w:val="single" w:color="auto" w:sz="4" w:space="0"/>
              <w:left w:val="single" w:color="auto" w:sz="4" w:space="0"/>
              <w:bottom w:val="single" w:color="auto" w:sz="4" w:space="0"/>
              <w:right w:val="single" w:color="auto" w:sz="4" w:space="0"/>
            </w:tcBorders>
            <w:tcMar/>
          </w:tcPr>
          <w:p w:rsidRPr="00523D39" w:rsidR="00581390" w:rsidP="00B5000E" w:rsidRDefault="00581390" w14:paraId="4E6B3FBC" w14:textId="77777777">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hAnsi="Cambria" w:eastAsia="Calibri" w:cs="Calibri"/>
                <w:b/>
                <w:bCs/>
                <w:color w:val="000000"/>
                <w:sz w:val="20"/>
                <w:szCs w:val="20"/>
              </w:rPr>
              <w:t>Has the trainee’s wellbeing been discussed?</w:t>
            </w:r>
          </w:p>
        </w:tc>
        <w:tc>
          <w:tcPr>
            <w:tcW w:w="799"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1F15CB1E" w14:textId="681316B7">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Pr="00F07217" w:rsidR="00581390" w:rsidTr="76DCAA32" w14:paraId="3DA04B76" w14:textId="77777777">
        <w:trPr>
          <w:trHeight w:val="602"/>
        </w:trPr>
        <w:tc>
          <w:tcPr>
            <w:tcW w:w="1790" w:type="dxa"/>
            <w:tcBorders>
              <w:left w:val="single" w:color="auto" w:sz="4" w:space="0"/>
              <w:right w:val="single" w:color="auto" w:sz="4" w:space="0"/>
            </w:tcBorders>
            <w:tcMar/>
          </w:tcPr>
          <w:p w:rsidRPr="00523D39" w:rsidR="00581390" w:rsidP="00581390" w:rsidRDefault="00581390" w14:paraId="14C9BBCF" w14:textId="77777777">
            <w:pPr>
              <w:spacing w:line="237" w:lineRule="auto"/>
              <w:rPr>
                <w:rFonts w:ascii="Cambria" w:hAnsi="Cambria" w:eastAsia="Georgia" w:cs="Georgia"/>
                <w:b/>
                <w:sz w:val="20"/>
                <w:szCs w:val="20"/>
              </w:rPr>
            </w:pPr>
          </w:p>
        </w:tc>
        <w:tc>
          <w:tcPr>
            <w:tcW w:w="9691" w:type="dxa"/>
            <w:gridSpan w:val="11"/>
            <w:tcBorders>
              <w:top w:val="single" w:color="auto" w:sz="4" w:space="0"/>
              <w:left w:val="single" w:color="auto" w:sz="4" w:space="0"/>
              <w:bottom w:val="single" w:color="auto" w:sz="4" w:space="0"/>
              <w:right w:val="single" w:color="auto" w:sz="4" w:space="0"/>
            </w:tcBorders>
            <w:tcMar/>
          </w:tcPr>
          <w:p w:rsidRPr="002073B3" w:rsidR="00581390" w:rsidP="00581390" w:rsidRDefault="00581390" w14:paraId="1A36A68E" w14:textId="28EE2F66">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FB38FA" w:rsidTr="76DCAA32" w14:paraId="1EFF03BD" w14:textId="77777777">
        <w:trPr>
          <w:trHeight w:val="301"/>
        </w:trPr>
        <w:tc>
          <w:tcPr>
            <w:tcW w:w="1790" w:type="dxa"/>
            <w:vMerge w:val="restart"/>
            <w:tcBorders>
              <w:top w:val="single" w:color="auto" w:sz="4" w:space="0"/>
              <w:left w:val="single" w:color="auto" w:sz="4" w:space="0"/>
              <w:right w:val="single" w:color="auto" w:sz="4" w:space="0"/>
            </w:tcBorders>
            <w:tcMar/>
          </w:tcPr>
          <w:p w:rsidRPr="00523D39" w:rsidR="00FB38FA" w:rsidP="00B5000E" w:rsidRDefault="00BA06A2" w14:paraId="78D25B1F" w14:textId="6EA1D7F1">
            <w:pPr>
              <w:spacing w:line="237" w:lineRule="auto"/>
              <w:jc w:val="center"/>
              <w:rPr>
                <w:rFonts w:ascii="Cambria" w:hAnsi="Cambria" w:eastAsia="Georgia" w:cs="Georgia"/>
                <w:b/>
                <w:sz w:val="20"/>
                <w:szCs w:val="20"/>
              </w:rPr>
            </w:pPr>
            <w:r>
              <w:rPr>
                <w:rFonts w:ascii="Cambria" w:hAnsi="Cambria" w:eastAsia="Georgia" w:cs="Georgia"/>
                <w:b/>
                <w:sz w:val="20"/>
                <w:szCs w:val="20"/>
              </w:rPr>
              <w:t>Opportunities identified for progress</w:t>
            </w:r>
            <w:r w:rsidRPr="00523D39" w:rsidR="00FB38FA">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9516C0A" w14:textId="6B211BFE">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893" w:type="dxa"/>
            <w:gridSpan w:val="6"/>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8FEB8A9" w14:textId="3855A4E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Pr="00F07217" w:rsidR="00FB38FA" w:rsidTr="76DCAA32" w14:paraId="19ADFC6E" w14:textId="77777777">
        <w:trPr>
          <w:trHeight w:val="301"/>
        </w:trPr>
        <w:tc>
          <w:tcPr>
            <w:tcW w:w="1790" w:type="dxa"/>
            <w:vMerge/>
            <w:tcMar/>
          </w:tcPr>
          <w:p w:rsidRPr="00523D39" w:rsidR="00FB38FA" w:rsidP="00B5000E" w:rsidRDefault="00FB38FA" w14:paraId="317BB4BF" w14:textId="77777777">
            <w:pPr>
              <w:spacing w:line="237" w:lineRule="auto"/>
              <w:jc w:val="center"/>
              <w:rPr>
                <w:rFonts w:ascii="Cambria" w:hAnsi="Cambria"/>
                <w:noProof/>
                <w:sz w:val="20"/>
                <w:szCs w:val="20"/>
              </w:rPr>
            </w:pPr>
          </w:p>
        </w:tc>
        <w:tc>
          <w:tcPr>
            <w:tcW w:w="4798"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4B7A6363" w14:textId="03E62649">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93"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1D1D38F" w14:textId="440D40C3">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76DCAA32" w14:paraId="48262457" w14:textId="77777777">
        <w:trPr>
          <w:trHeight w:val="301"/>
        </w:trPr>
        <w:tc>
          <w:tcPr>
            <w:tcW w:w="1790" w:type="dxa"/>
            <w:vMerge/>
            <w:tcMar/>
          </w:tcPr>
          <w:p w:rsidRPr="00523D39" w:rsidR="00FB38FA" w:rsidP="00B5000E" w:rsidRDefault="00FB38FA" w14:paraId="42B9B598" w14:textId="77777777">
            <w:pPr>
              <w:spacing w:line="237" w:lineRule="auto"/>
              <w:jc w:val="center"/>
              <w:rPr>
                <w:rFonts w:ascii="Cambria" w:hAnsi="Cambria"/>
                <w:noProof/>
                <w:sz w:val="20"/>
                <w:szCs w:val="20"/>
              </w:rPr>
            </w:pPr>
          </w:p>
        </w:tc>
        <w:tc>
          <w:tcPr>
            <w:tcW w:w="4798"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20ABC3DA" w14:textId="4A4CA355">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93"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69785372" w14:textId="300DE8E1">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76DCAA32" w14:paraId="4FEC5910" w14:textId="77777777">
        <w:trPr>
          <w:trHeight w:val="301"/>
        </w:trPr>
        <w:tc>
          <w:tcPr>
            <w:tcW w:w="1790" w:type="dxa"/>
            <w:vMerge/>
            <w:tcMar/>
          </w:tcPr>
          <w:p w:rsidRPr="00523D39" w:rsidR="00FB38FA" w:rsidP="00B5000E" w:rsidRDefault="00FB38FA" w14:paraId="7A4CF4F8" w14:textId="77777777">
            <w:pPr>
              <w:spacing w:line="237" w:lineRule="auto"/>
              <w:jc w:val="center"/>
              <w:rPr>
                <w:rFonts w:ascii="Cambria" w:hAnsi="Cambria"/>
                <w:noProof/>
                <w:sz w:val="20"/>
                <w:szCs w:val="20"/>
              </w:rPr>
            </w:pPr>
          </w:p>
        </w:tc>
        <w:tc>
          <w:tcPr>
            <w:tcW w:w="4798"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55CCE2C3" w14:textId="478E39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93"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55EC65A" w14:textId="4BA360FF">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402356" w:rsidTr="76DCAA32" w14:paraId="3CBB1465" w14:textId="77777777">
        <w:trPr>
          <w:trHeight w:val="413"/>
        </w:trPr>
        <w:tc>
          <w:tcPr>
            <w:tcW w:w="11481" w:type="dxa"/>
            <w:gridSpan w:val="12"/>
            <w:tcBorders>
              <w:top w:val="single" w:color="auto" w:sz="4" w:space="0"/>
              <w:left w:val="single" w:color="auto" w:sz="4" w:space="0"/>
              <w:bottom w:val="single" w:color="auto" w:sz="4" w:space="0"/>
              <w:right w:val="single" w:color="auto" w:sz="4" w:space="0"/>
            </w:tcBorders>
            <w:shd w:val="clear" w:color="auto" w:fill="FFFF00"/>
            <w:tcMar/>
          </w:tcPr>
          <w:p w:rsidRPr="00F83C7A" w:rsidR="00C95C29" w:rsidP="00C95C29" w:rsidRDefault="00402356" w14:paraId="5934773A" w14:textId="0D7F328E">
            <w:pPr>
              <w:rPr>
                <w:rFonts w:ascii="Cambria" w:hAnsi="Cambria" w:cs="Arial"/>
                <w:b/>
                <w:bCs/>
                <w:sz w:val="20"/>
                <w:szCs w:val="20"/>
              </w:rPr>
            </w:pPr>
            <w:r w:rsidRPr="00F83C7A">
              <w:rPr>
                <w:rFonts w:ascii="Cambria" w:hAnsi="Cambria" w:cs="Arial"/>
                <w:b/>
                <w:sz w:val="20"/>
                <w:szCs w:val="20"/>
              </w:rPr>
              <w:t>Current progress would suggest that</w:t>
            </w:r>
            <w:r w:rsidRPr="00F83C7A" w:rsidR="005511A4">
              <w:rPr>
                <w:rFonts w:ascii="Cambria" w:hAnsi="Cambria" w:cs="Arial"/>
                <w:b/>
                <w:sz w:val="20"/>
                <w:szCs w:val="20"/>
              </w:rPr>
              <w:t xml:space="preserve"> </w:t>
            </w:r>
            <w:r w:rsidRPr="00F83C7A" w:rsidR="00C95C29">
              <w:rPr>
                <w:rFonts w:ascii="Cambria" w:hAnsi="Cambria" w:cs="Arial"/>
                <w:b/>
                <w:sz w:val="20"/>
                <w:szCs w:val="20"/>
              </w:rPr>
              <w:t>t</w:t>
            </w:r>
            <w:r w:rsidRPr="00F83C7A" w:rsidR="00C95C29">
              <w:rPr>
                <w:rFonts w:ascii="Cambria" w:hAnsi="Cambria" w:cs="Arial"/>
                <w:b/>
                <w:bCs/>
                <w:sz w:val="20"/>
                <w:szCs w:val="20"/>
              </w:rPr>
              <w:t>he trainee is making sufficient progress through the curriculum to proceed</w:t>
            </w:r>
            <w:r w:rsidRPr="00F83C7A" w:rsidR="00470596">
              <w:rPr>
                <w:rFonts w:ascii="Cambria" w:hAnsi="Cambria" w:cs="Arial"/>
                <w:b/>
                <w:bCs/>
                <w:sz w:val="20"/>
                <w:szCs w:val="20"/>
              </w:rPr>
              <w:t>:</w:t>
            </w:r>
          </w:p>
          <w:p w:rsidRPr="00F83C7A" w:rsidR="00C95C29" w:rsidP="00C95C29" w:rsidRDefault="00E25F07" w14:paraId="4CCEE12F" w14:textId="171806A8">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Pr="00F83C7A" w:rsidR="00C95C29">
                  <w:rPr>
                    <w:rFonts w:ascii="Segoe UI Symbol" w:hAnsi="Segoe UI Symbol" w:eastAsia="MS Gothic" w:cs="Segoe UI Symbol"/>
                    <w:b/>
                    <w:bCs/>
                    <w:sz w:val="20"/>
                    <w:szCs w:val="20"/>
                  </w:rPr>
                  <w:t>☐</w:t>
                </w:r>
              </w:sdtContent>
            </w:sdt>
            <w:r w:rsidRPr="00F83C7A" w:rsidR="00C95C29">
              <w:rPr>
                <w:rFonts w:ascii="Cambria" w:hAnsi="Cambria" w:cs="Arial"/>
                <w:b/>
                <w:bCs/>
                <w:sz w:val="20"/>
                <w:szCs w:val="20"/>
              </w:rPr>
              <w:t xml:space="preserve">  Yes</w:t>
            </w:r>
            <w:r w:rsidRPr="00F83C7A" w:rsidR="00132F3C">
              <w:rPr>
                <w:rFonts w:ascii="Cambria" w:hAnsi="Cambria" w:cs="Arial"/>
                <w:b/>
                <w:bCs/>
                <w:sz w:val="20"/>
                <w:szCs w:val="20"/>
              </w:rPr>
              <w:t>, trainee is making sufficient progress through the curriculum.</w:t>
            </w:r>
          </w:p>
          <w:p w:rsidRPr="00F83C7A" w:rsidR="0036642F" w:rsidP="0036642F" w:rsidRDefault="00E25F07" w14:paraId="015224A5" w14:textId="60008F38">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Pr="00F83C7A" w:rsidR="0036642F">
                  <w:rPr>
                    <w:rFonts w:ascii="Segoe UI Symbol" w:hAnsi="Segoe UI Symbol" w:eastAsia="MS Gothic" w:cs="Segoe UI Symbol"/>
                    <w:b/>
                    <w:bCs/>
                    <w:sz w:val="20"/>
                    <w:szCs w:val="20"/>
                  </w:rPr>
                  <w:t>☐</w:t>
                </w:r>
              </w:sdtContent>
            </w:sdt>
            <w:r w:rsidRPr="00F83C7A" w:rsidR="0036642F">
              <w:rPr>
                <w:rFonts w:ascii="Cambria" w:hAnsi="Cambria" w:cs="Arial"/>
                <w:b/>
                <w:bCs/>
                <w:sz w:val="20"/>
                <w:szCs w:val="20"/>
              </w:rPr>
              <w:t xml:space="preserve">  Yes, </w:t>
            </w:r>
            <w:r w:rsidRPr="00F83C7A" w:rsidR="00132F3C">
              <w:rPr>
                <w:rFonts w:ascii="Cambria" w:hAnsi="Cambria" w:cs="Arial"/>
                <w:b/>
                <w:bCs/>
                <w:sz w:val="20"/>
                <w:szCs w:val="20"/>
              </w:rPr>
              <w:t xml:space="preserve">trainee is making sufficient progress through the curriculum, </w:t>
            </w:r>
            <w:r w:rsidRPr="00F83C7A" w:rsidR="0036642F">
              <w:rPr>
                <w:rFonts w:ascii="Cambria" w:hAnsi="Cambria" w:cs="Arial"/>
                <w:b/>
                <w:bCs/>
                <w:sz w:val="20"/>
                <w:szCs w:val="20"/>
              </w:rPr>
              <w:t xml:space="preserve">but this </w:t>
            </w:r>
            <w:r w:rsidRPr="00F83C7A" w:rsidR="004933A3">
              <w:rPr>
                <w:rFonts w:ascii="Cambria" w:hAnsi="Cambria" w:cs="Arial"/>
                <w:b/>
                <w:bCs/>
                <w:sz w:val="20"/>
                <w:szCs w:val="20"/>
              </w:rPr>
              <w:t xml:space="preserve">has </w:t>
            </w:r>
            <w:r w:rsidRPr="00F83C7A" w:rsidR="0036642F">
              <w:rPr>
                <w:rFonts w:ascii="Cambria" w:hAnsi="Cambria" w:cs="Arial"/>
                <w:b/>
                <w:bCs/>
                <w:sz w:val="20"/>
                <w:szCs w:val="20"/>
              </w:rPr>
              <w:t xml:space="preserve">required additional support </w:t>
            </w:r>
            <w:r w:rsidRPr="00F83C7A" w:rsidR="0036642F">
              <w:rPr>
                <w:rFonts w:ascii="Cambria" w:hAnsi="Cambria" w:cs="Arial"/>
                <w:b/>
                <w:bCs/>
                <w:sz w:val="14"/>
                <w:szCs w:val="14"/>
              </w:rPr>
              <w:t>(pleas</w:t>
            </w:r>
            <w:r w:rsidRPr="00F83C7A" w:rsidR="004009A7">
              <w:rPr>
                <w:rFonts w:ascii="Cambria" w:hAnsi="Cambria" w:cs="Arial"/>
                <w:b/>
                <w:bCs/>
                <w:sz w:val="14"/>
                <w:szCs w:val="14"/>
              </w:rPr>
              <w:t>e list the additional support provided below</w:t>
            </w:r>
            <w:r w:rsidRPr="00F83C7A" w:rsidR="004933A3">
              <w:rPr>
                <w:rFonts w:ascii="Cambria" w:hAnsi="Cambria" w:cs="Arial"/>
                <w:b/>
                <w:bCs/>
                <w:sz w:val="14"/>
                <w:szCs w:val="14"/>
              </w:rPr>
              <w:t xml:space="preserve">. For example, a reduction in teaching load, additional meetings, </w:t>
            </w:r>
            <w:r w:rsidRPr="00F83C7A" w:rsidR="009606AB">
              <w:rPr>
                <w:rFonts w:ascii="Cambria" w:hAnsi="Cambria" w:cs="Arial"/>
                <w:b/>
                <w:bCs/>
                <w:sz w:val="14"/>
                <w:szCs w:val="14"/>
              </w:rPr>
              <w:t>use of team-teaching etc</w:t>
            </w:r>
            <w:r w:rsidRPr="00F83C7A" w:rsidR="004009A7">
              <w:rPr>
                <w:rFonts w:ascii="Cambria" w:hAnsi="Cambria" w:cs="Arial"/>
                <w:b/>
                <w:bCs/>
                <w:sz w:val="20"/>
                <w:szCs w:val="20"/>
              </w:rPr>
              <w:t>)</w:t>
            </w:r>
            <w:r w:rsidR="00F83C7A">
              <w:rPr>
                <w:rFonts w:ascii="Cambria" w:hAnsi="Cambria" w:cs="Arial"/>
                <w:b/>
                <w:bCs/>
                <w:sz w:val="20"/>
                <w:szCs w:val="20"/>
              </w:rPr>
              <w:t>.</w:t>
            </w:r>
          </w:p>
          <w:p w:rsidRPr="00F83C7A" w:rsidR="005113AE" w:rsidP="0036642F" w:rsidRDefault="005113AE" w14:paraId="33ECB3E4" w14:textId="77777777">
            <w:pPr>
              <w:rPr>
                <w:rFonts w:ascii="Cambria" w:hAnsi="Cambria" w:cs="Arial"/>
                <w:b/>
                <w:bCs/>
                <w:sz w:val="20"/>
                <w:szCs w:val="20"/>
              </w:rPr>
            </w:pPr>
          </w:p>
          <w:p w:rsidRPr="00F83C7A" w:rsidR="0036642F" w:rsidP="00C95C29" w:rsidRDefault="0036642F" w14:paraId="2DBD45D4" w14:textId="77777777">
            <w:pPr>
              <w:rPr>
                <w:rFonts w:ascii="Cambria" w:hAnsi="Cambria" w:cs="Arial"/>
                <w:b/>
                <w:bCs/>
                <w:sz w:val="20"/>
                <w:szCs w:val="20"/>
              </w:rPr>
            </w:pPr>
          </w:p>
          <w:p w:rsidRPr="00F07217" w:rsidR="00402356" w:rsidP="00C95C29" w:rsidRDefault="00E25F07" w14:paraId="24E9E9CD" w14:textId="13DABC5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Pr="00F83C7A" w:rsidR="00C95C29">
                  <w:rPr>
                    <w:rFonts w:ascii="Segoe UI Symbol" w:hAnsi="Segoe UI Symbol" w:eastAsia="MS Gothic" w:cs="Segoe UI Symbol"/>
                    <w:b/>
                    <w:bCs/>
                    <w:sz w:val="20"/>
                    <w:szCs w:val="20"/>
                  </w:rPr>
                  <w:t>☐</w:t>
                </w:r>
              </w:sdtContent>
            </w:sdt>
            <w:r w:rsidRPr="00F83C7A" w:rsidR="00C95C29">
              <w:rPr>
                <w:rFonts w:ascii="Cambria" w:hAnsi="Cambria" w:cs="Arial"/>
                <w:b/>
                <w:bCs/>
                <w:sz w:val="20"/>
                <w:szCs w:val="20"/>
              </w:rPr>
              <w:t xml:space="preserve">  No, </w:t>
            </w:r>
            <w:r w:rsidRPr="00F83C7A" w:rsidR="005113AE">
              <w:rPr>
                <w:rFonts w:ascii="Cambria" w:hAnsi="Cambria" w:cs="Arial"/>
                <w:b/>
                <w:bCs/>
                <w:sz w:val="20"/>
                <w:szCs w:val="20"/>
              </w:rPr>
              <w:t xml:space="preserve">despite additional support </w:t>
            </w:r>
            <w:r w:rsidRPr="00F83C7A" w:rsidR="00D9612E">
              <w:rPr>
                <w:rFonts w:ascii="Cambria" w:hAnsi="Cambria" w:cs="Arial"/>
                <w:b/>
                <w:bCs/>
                <w:sz w:val="20"/>
                <w:szCs w:val="20"/>
              </w:rPr>
              <w:t xml:space="preserve">the </w:t>
            </w:r>
            <w:r w:rsidRPr="00F83C7A" w:rsidR="00DB4B64">
              <w:rPr>
                <w:rFonts w:ascii="Cambria" w:hAnsi="Cambria" w:cs="Arial"/>
                <w:b/>
                <w:bCs/>
                <w:sz w:val="20"/>
                <w:szCs w:val="20"/>
              </w:rPr>
              <w:t xml:space="preserve">trainee </w:t>
            </w:r>
            <w:r w:rsidRPr="00F83C7A" w:rsidR="00164C19">
              <w:rPr>
                <w:rFonts w:ascii="Cambria" w:hAnsi="Cambria" w:cs="Arial"/>
                <w:b/>
                <w:bCs/>
                <w:sz w:val="20"/>
                <w:szCs w:val="20"/>
              </w:rPr>
              <w:t xml:space="preserve">is not making sufficient progress through the curriculum. A </w:t>
            </w:r>
            <w:r w:rsidRPr="00F83C7A" w:rsidR="00DB4B64">
              <w:rPr>
                <w:rFonts w:ascii="Cambria" w:hAnsi="Cambria" w:cs="Arial"/>
                <w:b/>
                <w:bCs/>
                <w:sz w:val="20"/>
                <w:szCs w:val="20"/>
              </w:rPr>
              <w:t xml:space="preserve">Progress </w:t>
            </w:r>
            <w:r w:rsidRPr="00F83C7A" w:rsidR="009B3121">
              <w:rPr>
                <w:rFonts w:ascii="Cambria" w:hAnsi="Cambria" w:cs="Arial"/>
                <w:b/>
                <w:bCs/>
                <w:sz w:val="20"/>
                <w:szCs w:val="20"/>
              </w:rPr>
              <w:t xml:space="preserve">Support </w:t>
            </w:r>
            <w:r w:rsidRPr="00F83C7A" w:rsidR="00DB4B64">
              <w:rPr>
                <w:rFonts w:ascii="Cambria" w:hAnsi="Cambria" w:cs="Arial"/>
                <w:b/>
                <w:bCs/>
                <w:sz w:val="20"/>
                <w:szCs w:val="20"/>
              </w:rPr>
              <w:t>Plan</w:t>
            </w:r>
            <w:r w:rsidRPr="00F83C7A" w:rsidR="00164C19">
              <w:rPr>
                <w:rFonts w:ascii="Cambria" w:hAnsi="Cambria" w:cs="Arial"/>
                <w:b/>
                <w:bCs/>
                <w:sz w:val="20"/>
                <w:szCs w:val="20"/>
              </w:rPr>
              <w:t xml:space="preserve"> should be considered.</w:t>
            </w:r>
            <w:r w:rsidRPr="00F07217" w:rsidR="00DB4B64">
              <w:rPr>
                <w:rFonts w:ascii="Georgia" w:hAnsi="Georgia" w:cs="Arial"/>
                <w:b/>
                <w:bCs/>
                <w:sz w:val="24"/>
                <w:szCs w:val="24"/>
              </w:rPr>
              <w:t xml:space="preserve"> </w:t>
            </w:r>
          </w:p>
        </w:tc>
      </w:tr>
      <w:bookmarkEnd w:id="0"/>
    </w:tbl>
    <w:p w:rsidR="000C0420" w:rsidRDefault="000C0420" w14:paraId="1FF584B5" w14:textId="77777777">
      <w:pPr>
        <w:spacing w:after="0"/>
      </w:pPr>
    </w:p>
    <w:tbl>
      <w:tblPr>
        <w:tblW w:w="5331" w:type="pct"/>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ook w:val="0620" w:firstRow="1" w:lastRow="0" w:firstColumn="0" w:lastColumn="0" w:noHBand="1" w:noVBand="1"/>
      </w:tblPr>
      <w:tblGrid>
        <w:gridCol w:w="2411"/>
        <w:gridCol w:w="9072"/>
      </w:tblGrid>
      <w:tr w:rsidRPr="00736154" w:rsidR="005C4DE7" w:rsidTr="00F83C7A" w14:paraId="2B058134" w14:textId="77777777">
        <w:trPr>
          <w:trHeight w:val="448"/>
        </w:trPr>
        <w:tc>
          <w:tcPr>
            <w:tcW w:w="1050" w:type="pct"/>
            <w:shd w:val="clear" w:color="auto" w:fill="B4C6E7" w:themeFill="accent1" w:themeFillTint="66"/>
          </w:tcPr>
          <w:p w:rsidRPr="00F83C7A" w:rsidR="005C4DE7" w:rsidP="00215118" w:rsidRDefault="005C4DE7" w14:paraId="22A85F45" w14:textId="77777777">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rsidRPr="00F83C7A" w:rsidR="005C4DE7" w:rsidP="00215118" w:rsidRDefault="005C4DE7" w14:paraId="305B90D7" w14:textId="77777777">
            <w:pPr>
              <w:spacing w:after="0" w:line="240" w:lineRule="auto"/>
              <w:rPr>
                <w:rFonts w:ascii="Cambria" w:hAnsi="Cambria" w:cs="Arial"/>
                <w:b/>
              </w:rPr>
            </w:pPr>
          </w:p>
        </w:tc>
        <w:tc>
          <w:tcPr>
            <w:tcW w:w="3950" w:type="pct"/>
            <w:vAlign w:val="center"/>
          </w:tcPr>
          <w:p w:rsidRPr="00F83C7A" w:rsidR="005C4DE7" w:rsidP="00215118" w:rsidRDefault="005C4DE7" w14:paraId="43D0597A" w14:textId="77777777">
            <w:pPr>
              <w:spacing w:after="0" w:line="240" w:lineRule="auto"/>
              <w:rPr>
                <w:rFonts w:ascii="Cambria" w:hAnsi="Cambria" w:cs="Arial"/>
                <w:bCs/>
              </w:rPr>
            </w:pPr>
          </w:p>
        </w:tc>
      </w:tr>
      <w:tr w:rsidRPr="00C05114" w:rsidR="005C4DE7" w:rsidTr="00F83C7A" w14:paraId="0152676E" w14:textId="77777777">
        <w:trPr>
          <w:trHeight w:val="448"/>
        </w:trPr>
        <w:tc>
          <w:tcPr>
            <w:tcW w:w="1050" w:type="pct"/>
            <w:shd w:val="clear" w:color="auto" w:fill="B4C6E7" w:themeFill="accent1" w:themeFillTint="66"/>
          </w:tcPr>
          <w:p w:rsidRPr="00F83C7A" w:rsidR="005C4DE7" w:rsidP="00215118" w:rsidRDefault="005C4DE7" w14:paraId="138ACE6B" w14:textId="3921E529">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rsidRPr="00F83C7A" w:rsidR="005C4DE7" w:rsidP="00215118" w:rsidRDefault="005C4DE7" w14:paraId="4F1D9292" w14:textId="77777777">
            <w:pPr>
              <w:spacing w:after="0" w:line="240" w:lineRule="auto"/>
              <w:rPr>
                <w:rFonts w:ascii="Cambria" w:hAnsi="Cambria" w:cs="Arial"/>
                <w:b/>
              </w:rPr>
            </w:pPr>
          </w:p>
        </w:tc>
        <w:tc>
          <w:tcPr>
            <w:tcW w:w="3950" w:type="pct"/>
            <w:vAlign w:val="center"/>
          </w:tcPr>
          <w:p w:rsidRPr="00F83C7A" w:rsidR="005C4DE7" w:rsidP="00215118" w:rsidRDefault="005C4DE7" w14:paraId="3C8CD19E" w14:textId="77777777">
            <w:pPr>
              <w:spacing w:after="0" w:line="240" w:lineRule="auto"/>
              <w:rPr>
                <w:rFonts w:ascii="Cambria" w:hAnsi="Cambria" w:cs="Arial"/>
                <w:bCs/>
              </w:rPr>
            </w:pPr>
            <w:r w:rsidRPr="00F83C7A">
              <w:rPr>
                <w:rFonts w:ascii="Cambria" w:hAnsi="Cambria" w:cs="Arial"/>
                <w:bCs/>
              </w:rPr>
              <w:t xml:space="preserve"> </w:t>
            </w:r>
          </w:p>
        </w:tc>
      </w:tr>
      <w:tr w:rsidRPr="00C05114" w:rsidR="005C4DE7" w:rsidTr="00A7227A" w14:paraId="00DD1E78" w14:textId="77777777">
        <w:trPr>
          <w:trHeight w:val="448"/>
        </w:trPr>
        <w:tc>
          <w:tcPr>
            <w:tcW w:w="5000" w:type="pct"/>
            <w:gridSpan w:val="2"/>
            <w:shd w:val="clear" w:color="auto" w:fill="auto"/>
          </w:tcPr>
          <w:p w:rsidRPr="00F83C7A" w:rsidR="005C4DE7" w:rsidP="00215118" w:rsidRDefault="005C4DE7" w14:paraId="51568FF2" w14:textId="0B076187">
            <w:pPr>
              <w:spacing w:after="0" w:line="240" w:lineRule="auto"/>
              <w:jc w:val="center"/>
              <w:rPr>
                <w:rFonts w:ascii="Cambria" w:hAnsi="Cambria" w:cs="Arial"/>
                <w:bCs/>
              </w:rPr>
            </w:pPr>
            <w:r w:rsidRPr="00F83C7A">
              <w:rPr>
                <w:rFonts w:ascii="Cambria" w:hAnsi="Cambria" w:cs="Arial"/>
                <w:bCs/>
              </w:rPr>
              <w:t>Trainee</w:t>
            </w:r>
            <w:r w:rsidRPr="00F83C7A" w:rsidR="00275428">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Pr="00F83C7A" w:rsidR="00275428">
              <w:rPr>
                <w:rFonts w:ascii="Cambria" w:hAnsi="Cambria" w:cs="Arial"/>
                <w:bCs/>
              </w:rPr>
              <w:t xml:space="preserve">may result in the trainee being placed on a Progress </w:t>
            </w:r>
            <w:r w:rsidRPr="00F83C7A" w:rsidR="00723015">
              <w:rPr>
                <w:rFonts w:ascii="Cambria" w:hAnsi="Cambria" w:cs="Arial"/>
                <w:bCs/>
              </w:rPr>
              <w:t>Support</w:t>
            </w:r>
            <w:r w:rsidRPr="00F83C7A" w:rsidR="00275428">
              <w:rPr>
                <w:rFonts w:ascii="Cambria" w:hAnsi="Cambria" w:cs="Arial"/>
                <w:bCs/>
              </w:rPr>
              <w:t xml:space="preserve"> Plan.</w:t>
            </w:r>
          </w:p>
        </w:tc>
      </w:tr>
    </w:tbl>
    <w:p w:rsidR="005C4DE7" w:rsidRDefault="005C4DE7" w14:paraId="4BE1844F" w14:textId="77777777">
      <w:pPr>
        <w:spacing w:after="0"/>
      </w:pPr>
    </w:p>
    <w:sectPr w:rsidR="005C4DE7" w:rsidSect="008A67D8">
      <w:headerReference w:type="default" r:id="rId19"/>
      <w:footerReference w:type="default" r:id="rId20"/>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45B" w:rsidP="00BB0205" w:rsidRDefault="00D0645B" w14:paraId="44FD6FC7" w14:textId="77777777">
      <w:pPr>
        <w:spacing w:after="0" w:line="240" w:lineRule="auto"/>
      </w:pPr>
      <w:r>
        <w:separator/>
      </w:r>
    </w:p>
  </w:endnote>
  <w:endnote w:type="continuationSeparator" w:id="0">
    <w:p w:rsidR="00D0645B" w:rsidP="00BB0205" w:rsidRDefault="00D0645B" w14:paraId="6329AE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rsidR="009C79B8" w:rsidRDefault="009C79B8" w14:paraId="61FB0216" w14:textId="68E15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C79B8" w:rsidRDefault="009C79B8" w14:paraId="06A380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45B" w:rsidP="00BB0205" w:rsidRDefault="00D0645B" w14:paraId="4F0B259B" w14:textId="77777777">
      <w:pPr>
        <w:spacing w:after="0" w:line="240" w:lineRule="auto"/>
      </w:pPr>
      <w:r>
        <w:separator/>
      </w:r>
    </w:p>
  </w:footnote>
  <w:footnote w:type="continuationSeparator" w:id="0">
    <w:p w:rsidR="00D0645B" w:rsidP="00BB0205" w:rsidRDefault="00D0645B" w14:paraId="38AF63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B0205" w:rsidR="00BB0205" w:rsidP="00BB0205" w:rsidRDefault="00BB0205" w14:paraId="608BA685" w14:textId="2EDF6E14">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71ea774"/>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6">
    <w:nsid w:val="50292ff9"/>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
    <w:nsid w:val="3fce60fb"/>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45B578F"/>
    <w:multiLevelType w:val="hybridMultilevel"/>
    <w:tmpl w:val="7E806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6D6C2204"/>
    <w:multiLevelType w:val="hybridMultilevel"/>
    <w:tmpl w:val="E300F8E8"/>
    <w:lvl w:ilvl="0" w:tplc="8C202DA8">
      <w:start w:val="1"/>
      <w:numFmt w:val="bullet"/>
      <w:lvlText w:val=""/>
      <w:lvlJc w:val="left"/>
      <w:pPr>
        <w:ind w:left="720" w:hanging="360"/>
      </w:pPr>
      <w:rPr>
        <w:rFonts w:hint="default" w:ascii="Symbol" w:hAnsi="Symbol"/>
      </w:rPr>
    </w:lvl>
    <w:lvl w:ilvl="1" w:tplc="EC7609E2">
      <w:start w:val="1"/>
      <w:numFmt w:val="bullet"/>
      <w:lvlText w:val="o"/>
      <w:lvlJc w:val="left"/>
      <w:pPr>
        <w:ind w:left="1440" w:hanging="360"/>
      </w:pPr>
      <w:rPr>
        <w:rFonts w:hint="default" w:ascii="Courier New" w:hAnsi="Courier New"/>
      </w:rPr>
    </w:lvl>
    <w:lvl w:ilvl="2" w:tplc="75A48A86">
      <w:start w:val="1"/>
      <w:numFmt w:val="bullet"/>
      <w:lvlText w:val=""/>
      <w:lvlJc w:val="left"/>
      <w:pPr>
        <w:ind w:left="2160" w:hanging="360"/>
      </w:pPr>
      <w:rPr>
        <w:rFonts w:hint="default" w:ascii="Wingdings" w:hAnsi="Wingdings"/>
      </w:rPr>
    </w:lvl>
    <w:lvl w:ilvl="3" w:tplc="D0CA50DC">
      <w:start w:val="1"/>
      <w:numFmt w:val="bullet"/>
      <w:lvlText w:val=""/>
      <w:lvlJc w:val="left"/>
      <w:pPr>
        <w:ind w:left="2880" w:hanging="360"/>
      </w:pPr>
      <w:rPr>
        <w:rFonts w:hint="default" w:ascii="Symbol" w:hAnsi="Symbol"/>
      </w:rPr>
    </w:lvl>
    <w:lvl w:ilvl="4" w:tplc="915861B4">
      <w:start w:val="1"/>
      <w:numFmt w:val="bullet"/>
      <w:lvlText w:val="o"/>
      <w:lvlJc w:val="left"/>
      <w:pPr>
        <w:ind w:left="3600" w:hanging="360"/>
      </w:pPr>
      <w:rPr>
        <w:rFonts w:hint="default" w:ascii="Courier New" w:hAnsi="Courier New"/>
      </w:rPr>
    </w:lvl>
    <w:lvl w:ilvl="5" w:tplc="D45A042C">
      <w:start w:val="1"/>
      <w:numFmt w:val="bullet"/>
      <w:lvlText w:val=""/>
      <w:lvlJc w:val="left"/>
      <w:pPr>
        <w:ind w:left="4320" w:hanging="360"/>
      </w:pPr>
      <w:rPr>
        <w:rFonts w:hint="default" w:ascii="Wingdings" w:hAnsi="Wingdings"/>
      </w:rPr>
    </w:lvl>
    <w:lvl w:ilvl="6" w:tplc="67B63E32">
      <w:start w:val="1"/>
      <w:numFmt w:val="bullet"/>
      <w:lvlText w:val=""/>
      <w:lvlJc w:val="left"/>
      <w:pPr>
        <w:ind w:left="5040" w:hanging="360"/>
      </w:pPr>
      <w:rPr>
        <w:rFonts w:hint="default" w:ascii="Symbol" w:hAnsi="Symbol"/>
      </w:rPr>
    </w:lvl>
    <w:lvl w:ilvl="7" w:tplc="87F65DAE">
      <w:start w:val="1"/>
      <w:numFmt w:val="bullet"/>
      <w:lvlText w:val="o"/>
      <w:lvlJc w:val="left"/>
      <w:pPr>
        <w:ind w:left="5760" w:hanging="360"/>
      </w:pPr>
      <w:rPr>
        <w:rFonts w:hint="default" w:ascii="Courier New" w:hAnsi="Courier New"/>
      </w:rPr>
    </w:lvl>
    <w:lvl w:ilvl="8" w:tplc="75769454">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16cid:durableId="1670982005">
    <w:abstractNumId w:val="3"/>
  </w:num>
  <w:num w:numId="2" w16cid:durableId="745959156">
    <w:abstractNumId w:val="2"/>
  </w:num>
  <w:num w:numId="3" w16cid:durableId="365060952">
    <w:abstractNumId w:val="1"/>
  </w:num>
  <w:num w:numId="4" w16cid:durableId="970749666">
    <w:abstractNumId w:val="0"/>
  </w:num>
  <w:num w:numId="5" w16cid:durableId="37501385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0C17"/>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4A4E"/>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6665"/>
    <w:rsid w:val="00B64B0A"/>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0645B"/>
    <w:rsid w:val="00D105DF"/>
    <w:rsid w:val="00D12C87"/>
    <w:rsid w:val="00D26EEE"/>
    <w:rsid w:val="00D67B11"/>
    <w:rsid w:val="00D7386B"/>
    <w:rsid w:val="00D8211D"/>
    <w:rsid w:val="00D852D6"/>
    <w:rsid w:val="00D9275F"/>
    <w:rsid w:val="00D9612E"/>
    <w:rsid w:val="00DA4C7E"/>
    <w:rsid w:val="00DB4B64"/>
    <w:rsid w:val="00DD5A4F"/>
    <w:rsid w:val="00DF760B"/>
    <w:rsid w:val="00E22452"/>
    <w:rsid w:val="00E25F07"/>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 w:val="03AF950D"/>
    <w:rsid w:val="03BE8CBB"/>
    <w:rsid w:val="090FEAB4"/>
    <w:rsid w:val="09D95EC7"/>
    <w:rsid w:val="0D7BA5B5"/>
    <w:rsid w:val="0DE35BD7"/>
    <w:rsid w:val="10BC13FF"/>
    <w:rsid w:val="15969C45"/>
    <w:rsid w:val="166F71F5"/>
    <w:rsid w:val="16E1CB0D"/>
    <w:rsid w:val="1793E323"/>
    <w:rsid w:val="18A76E0E"/>
    <w:rsid w:val="1A74EAD6"/>
    <w:rsid w:val="1CD5E759"/>
    <w:rsid w:val="1E71B7BA"/>
    <w:rsid w:val="1F28A724"/>
    <w:rsid w:val="1FB2193F"/>
    <w:rsid w:val="206FEA98"/>
    <w:rsid w:val="20A2760A"/>
    <w:rsid w:val="21413C5C"/>
    <w:rsid w:val="2439EA69"/>
    <w:rsid w:val="28D22E12"/>
    <w:rsid w:val="29A15B16"/>
    <w:rsid w:val="29AF16BC"/>
    <w:rsid w:val="2A55CB32"/>
    <w:rsid w:val="2A634077"/>
    <w:rsid w:val="2A86EC2E"/>
    <w:rsid w:val="2B0E61AC"/>
    <w:rsid w:val="2DDFCE16"/>
    <w:rsid w:val="2E062BF9"/>
    <w:rsid w:val="2E467C1C"/>
    <w:rsid w:val="30B2B588"/>
    <w:rsid w:val="3239FECD"/>
    <w:rsid w:val="33459E2D"/>
    <w:rsid w:val="33AE2BE9"/>
    <w:rsid w:val="33E8903B"/>
    <w:rsid w:val="369519CA"/>
    <w:rsid w:val="36F1ADCA"/>
    <w:rsid w:val="3A5596E8"/>
    <w:rsid w:val="3B5523B5"/>
    <w:rsid w:val="41E68C98"/>
    <w:rsid w:val="41F9C91E"/>
    <w:rsid w:val="46C39F09"/>
    <w:rsid w:val="4AB563E5"/>
    <w:rsid w:val="4B035899"/>
    <w:rsid w:val="4B3EED4F"/>
    <w:rsid w:val="4C98F2FE"/>
    <w:rsid w:val="4CE226CD"/>
    <w:rsid w:val="4DC2C89D"/>
    <w:rsid w:val="4DF5872E"/>
    <w:rsid w:val="4F5E98FE"/>
    <w:rsid w:val="4F6C4FDA"/>
    <w:rsid w:val="4F91578F"/>
    <w:rsid w:val="50FA695F"/>
    <w:rsid w:val="52B52399"/>
    <w:rsid w:val="53A8EDB0"/>
    <w:rsid w:val="559F2BE4"/>
    <w:rsid w:val="57EAF739"/>
    <w:rsid w:val="5ABA93A9"/>
    <w:rsid w:val="5BBCC491"/>
    <w:rsid w:val="5BE71FDD"/>
    <w:rsid w:val="5D69A499"/>
    <w:rsid w:val="5DB892F7"/>
    <w:rsid w:val="627CABE2"/>
    <w:rsid w:val="634E5A21"/>
    <w:rsid w:val="63B9B6B1"/>
    <w:rsid w:val="69364519"/>
    <w:rsid w:val="6A28F835"/>
    <w:rsid w:val="6C0A242C"/>
    <w:rsid w:val="6C53551C"/>
    <w:rsid w:val="6D1FC839"/>
    <w:rsid w:val="6EFC6958"/>
    <w:rsid w:val="6F9267C3"/>
    <w:rsid w:val="751BA3A1"/>
    <w:rsid w:val="753EBBA0"/>
    <w:rsid w:val="76DCAA32"/>
    <w:rsid w:val="76E655BB"/>
    <w:rsid w:val="775543F0"/>
    <w:rsid w:val="77560902"/>
    <w:rsid w:val="78787A93"/>
    <w:rsid w:val="78B66422"/>
    <w:rsid w:val="78C9A13E"/>
    <w:rsid w:val="7A144AF4"/>
    <w:rsid w:val="7A25BCF4"/>
    <w:rsid w:val="7A470985"/>
    <w:rsid w:val="7B783A88"/>
    <w:rsid w:val="7C18997B"/>
    <w:rsid w:val="7D1D3D18"/>
    <w:rsid w:val="7D650DFE"/>
    <w:rsid w:val="7FDFE0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0205"/>
    <w:rPr>
      <w:rFonts w:ascii="Calibri" w:hAnsi="Calibri" w:eastAsia="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0205"/>
    <w:rPr>
      <w:rFonts w:ascii="Calibri" w:hAnsi="Calibri" w:eastAsia="Calibri" w:cs="Calibri"/>
      <w:color w:val="000000"/>
    </w:rPr>
  </w:style>
  <w:style w:type="table" w:styleId="TableGrid0">
    <w:name w:val="Table Grid"/>
    <w:basedOn w:val="TableNormal"/>
    <w:uiPriority w:val="39"/>
    <w:rsid w:val="002039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styleId="Default" w:customStyle="1">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styleId="xmsolistparagraph" w:customStyle="1">
    <w:name w:val="x_msolistparagraph"/>
    <w:basedOn w:val="Normal"/>
    <w:rsid w:val="00800444"/>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hAnsi="Arial" w:eastAsiaTheme="minorHAnsi"/>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styleId="NoSpacingChar" w:customStyle="1">
    <w:name w:val="No Spacing Char"/>
    <w:link w:val="NoSpacing"/>
    <w:uiPriority w:val="1"/>
    <w:rsid w:val="00FF0E23"/>
    <w:rPr>
      <w:rFonts w:ascii="Arial" w:hAnsi="Arial" w:eastAsiaTheme="minorHAnsi"/>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styleId="CommentTextChar" w:customStyle="1">
    <w:name w:val="Comment Text Char"/>
    <w:basedOn w:val="DefaultParagraphFont"/>
    <w:link w:val="CommentText"/>
    <w:uiPriority w:val="99"/>
    <w:rsid w:val="00554743"/>
    <w:rPr>
      <w:rFonts w:ascii="Arial" w:hAnsi="Arial" w:eastAsia="Calibri"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styleId="paragraph" w:customStyle="1">
    <w:name w:val="paragraph"/>
    <w:basedOn w:val="Normal"/>
    <w:rsid w:val="00BE47F7"/>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BE47F7"/>
  </w:style>
  <w:style w:type="character" w:styleId="eop" w:customStyle="1">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image" Target="media/image4.jpg" Id="rId15"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theme" Target="theme/theme1.xml" Id="rId22" /><Relationship Type="http://schemas.openxmlformats.org/officeDocument/2006/relationships/glossaryDocument" Target="glossary/document.xml" Id="Rc4d252565454402b" /><Relationship Type="http://schemas.openxmlformats.org/officeDocument/2006/relationships/hyperlink" Target="https://www.reonline.org.uk/2013/02/01/keys-into-re-anne-krisman/" TargetMode="External" Id="R5b46ada9b1a6423f" /></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20f634-292b-4a2d-b244-7dcb7185b030}"/>
      </w:docPartPr>
      <w:docPartBody>
        <w:p w14:paraId="380B54D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Felix Obadan</dc:creator>
  <keywords/>
  <lastModifiedBy>Heather Marshall</lastModifiedBy>
  <revision>7</revision>
  <lastPrinted>2023-05-18T14:08:00.0000000Z</lastPrinted>
  <dcterms:created xsi:type="dcterms:W3CDTF">2023-11-14T10:48:00.0000000Z</dcterms:created>
  <dcterms:modified xsi:type="dcterms:W3CDTF">2024-01-10T11:25:29.7964070Z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