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16" w:type="dxa"/>
        <w:tblInd w:w="-436" w:type="dxa"/>
        <w:tblCellMar>
          <w:top w:w="145" w:type="dxa"/>
          <w:left w:w="98" w:type="dxa"/>
          <w:right w:w="68" w:type="dxa"/>
        </w:tblCellMar>
        <w:tblLook w:val="04A0" w:firstRow="1" w:lastRow="0" w:firstColumn="1" w:lastColumn="0" w:noHBand="0" w:noVBand="1"/>
      </w:tblPr>
      <w:tblGrid>
        <w:gridCol w:w="1504"/>
        <w:gridCol w:w="1186"/>
        <w:gridCol w:w="1157"/>
        <w:gridCol w:w="848"/>
        <w:gridCol w:w="956"/>
        <w:gridCol w:w="1219"/>
        <w:gridCol w:w="182"/>
        <w:gridCol w:w="1237"/>
        <w:gridCol w:w="1963"/>
        <w:gridCol w:w="232"/>
        <w:gridCol w:w="732"/>
      </w:tblGrid>
      <w:tr w:rsidR="00BB0205" w:rsidRPr="00C43406" w14:paraId="31D4C3CB" w14:textId="77777777" w:rsidTr="000745F8">
        <w:trPr>
          <w:trHeight w:val="680"/>
        </w:trPr>
        <w:tc>
          <w:tcPr>
            <w:tcW w:w="11216" w:type="dxa"/>
            <w:gridSpan w:val="11"/>
            <w:tcBorders>
              <w:top w:val="single" w:sz="4" w:space="0" w:color="auto"/>
              <w:left w:val="single" w:sz="4" w:space="0" w:color="auto"/>
              <w:bottom w:val="single" w:sz="4" w:space="0" w:color="auto"/>
              <w:right w:val="single" w:sz="4" w:space="0" w:color="auto"/>
            </w:tcBorders>
            <w:shd w:val="clear" w:color="auto" w:fill="7030A0"/>
          </w:tcPr>
          <w:p w14:paraId="2F0115FB" w14:textId="586ACC58" w:rsidR="00BB0205" w:rsidRPr="00C43406" w:rsidRDefault="00BB0205" w:rsidP="00F07217">
            <w:pPr>
              <w:jc w:val="center"/>
              <w:rPr>
                <w:rFonts w:ascii="Cambria" w:eastAsia="Georgia" w:hAnsi="Cambria" w:cs="Georgia"/>
                <w:b/>
                <w:color w:val="FFFFFF" w:themeColor="background1"/>
                <w:sz w:val="20"/>
                <w:szCs w:val="20"/>
              </w:rPr>
            </w:pPr>
            <w:bookmarkStart w:id="0" w:name="_Hlk86825635"/>
            <w:r w:rsidRPr="00C43406">
              <w:rPr>
                <w:rFonts w:ascii="Cambria" w:eastAsia="Georgia" w:hAnsi="Cambria" w:cs="Georgia"/>
                <w:b/>
                <w:color w:val="FFFFFF" w:themeColor="background1"/>
                <w:sz w:val="20"/>
                <w:szCs w:val="20"/>
              </w:rPr>
              <w:t xml:space="preserve">Welcome to the mentor </w:t>
            </w:r>
            <w:r w:rsidR="00FE47C3" w:rsidRPr="00C43406">
              <w:rPr>
                <w:rFonts w:ascii="Cambria" w:eastAsia="Georgia" w:hAnsi="Cambria" w:cs="Georgia"/>
                <w:b/>
                <w:color w:val="FFFFFF" w:themeColor="background1"/>
                <w:sz w:val="20"/>
                <w:szCs w:val="20"/>
              </w:rPr>
              <w:t>Weekly Development Summary</w:t>
            </w:r>
            <w:r w:rsidRPr="00C43406">
              <w:rPr>
                <w:rFonts w:ascii="Cambria" w:eastAsia="Georgia" w:hAnsi="Cambria" w:cs="Georgia"/>
                <w:b/>
                <w:color w:val="FFFFFF" w:themeColor="background1"/>
                <w:sz w:val="20"/>
                <w:szCs w:val="20"/>
              </w:rPr>
              <w:t xml:space="preserve"> from the Department of Secondary and Further Education</w:t>
            </w:r>
            <w:r w:rsidR="00966A4C" w:rsidRPr="00C43406">
              <w:rPr>
                <w:rFonts w:ascii="Cambria" w:eastAsia="Georgia" w:hAnsi="Cambria" w:cs="Georgia"/>
                <w:b/>
                <w:color w:val="FFFFFF" w:themeColor="background1"/>
                <w:sz w:val="20"/>
                <w:szCs w:val="20"/>
              </w:rPr>
              <w:t xml:space="preserve"> (AY 2</w:t>
            </w:r>
            <w:r w:rsidR="002D71BC" w:rsidRPr="00C43406">
              <w:rPr>
                <w:rFonts w:ascii="Cambria" w:eastAsia="Georgia" w:hAnsi="Cambria" w:cs="Georgia"/>
                <w:b/>
                <w:color w:val="FFFFFF" w:themeColor="background1"/>
                <w:sz w:val="20"/>
                <w:szCs w:val="20"/>
              </w:rPr>
              <w:t>3</w:t>
            </w:r>
            <w:r w:rsidR="00966A4C" w:rsidRPr="00C43406">
              <w:rPr>
                <w:rFonts w:ascii="Cambria" w:eastAsia="Georgia" w:hAnsi="Cambria" w:cs="Georgia"/>
                <w:b/>
                <w:color w:val="FFFFFF" w:themeColor="background1"/>
                <w:sz w:val="20"/>
                <w:szCs w:val="20"/>
              </w:rPr>
              <w:t>/2</w:t>
            </w:r>
            <w:r w:rsidR="002D71BC" w:rsidRPr="00C43406">
              <w:rPr>
                <w:rFonts w:ascii="Cambria" w:eastAsia="Georgia" w:hAnsi="Cambria" w:cs="Georgia"/>
                <w:b/>
                <w:color w:val="FFFFFF" w:themeColor="background1"/>
                <w:sz w:val="20"/>
                <w:szCs w:val="20"/>
              </w:rPr>
              <w:t>4</w:t>
            </w:r>
            <w:r w:rsidR="00966A4C" w:rsidRPr="00C43406">
              <w:rPr>
                <w:rFonts w:ascii="Cambria" w:eastAsia="Georgia" w:hAnsi="Cambria" w:cs="Georgia"/>
                <w:b/>
                <w:color w:val="FFFFFF" w:themeColor="background1"/>
                <w:sz w:val="20"/>
                <w:szCs w:val="20"/>
              </w:rPr>
              <w:t>)</w:t>
            </w:r>
          </w:p>
          <w:p w14:paraId="2E8EA821" w14:textId="6E736D7B" w:rsidR="006102D0" w:rsidRPr="00C43406" w:rsidRDefault="006102D0" w:rsidP="00F07217">
            <w:pPr>
              <w:jc w:val="center"/>
              <w:rPr>
                <w:rFonts w:ascii="Cambria" w:eastAsia="Georgia" w:hAnsi="Cambria" w:cs="Georgia"/>
                <w:b/>
                <w:sz w:val="20"/>
                <w:szCs w:val="20"/>
              </w:rPr>
            </w:pPr>
            <w:r w:rsidRPr="00C43406">
              <w:rPr>
                <w:rFonts w:ascii="Cambria" w:eastAsia="Georgia" w:hAnsi="Cambria" w:cs="Georgia"/>
                <w:b/>
                <w:color w:val="FFFFFF" w:themeColor="background1"/>
                <w:sz w:val="20"/>
                <w:szCs w:val="20"/>
              </w:rPr>
              <w:t xml:space="preserve">Week </w:t>
            </w:r>
            <w:r w:rsidR="00442355">
              <w:rPr>
                <w:rFonts w:ascii="Cambria" w:eastAsia="Georgia" w:hAnsi="Cambria" w:cs="Georgia"/>
                <w:b/>
                <w:color w:val="FFFFFF" w:themeColor="background1"/>
                <w:sz w:val="20"/>
                <w:szCs w:val="20"/>
              </w:rPr>
              <w:t>2</w:t>
            </w:r>
            <w:r w:rsidR="001B6008">
              <w:rPr>
                <w:rFonts w:ascii="Cambria" w:eastAsia="Georgia" w:hAnsi="Cambria" w:cs="Georgia"/>
                <w:b/>
                <w:color w:val="FFFFFF" w:themeColor="background1"/>
                <w:sz w:val="20"/>
                <w:szCs w:val="20"/>
              </w:rPr>
              <w:t>6</w:t>
            </w:r>
          </w:p>
        </w:tc>
      </w:tr>
      <w:tr w:rsidR="00E65DEB" w:rsidRPr="00C43406" w14:paraId="691F8551" w14:textId="77777777" w:rsidTr="000745F8">
        <w:trPr>
          <w:trHeight w:val="650"/>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052E0933" w14:textId="70F124BD" w:rsidR="00E65DEB" w:rsidRPr="00C43406" w:rsidRDefault="00606867">
            <w:pPr>
              <w:jc w:val="both"/>
              <w:rPr>
                <w:rFonts w:ascii="Cambria" w:hAnsi="Cambria"/>
                <w:b/>
                <w:bCs/>
                <w:sz w:val="20"/>
                <w:szCs w:val="20"/>
              </w:rPr>
            </w:pPr>
            <w:r w:rsidRPr="00C43406">
              <w:rPr>
                <w:rFonts w:ascii="Cambria" w:hAnsi="Cambria"/>
                <w:b/>
                <w:bCs/>
                <w:sz w:val="20"/>
                <w:szCs w:val="20"/>
              </w:rPr>
              <w:t>Course:</w:t>
            </w:r>
            <w:r w:rsidR="00866227" w:rsidRPr="00C43406">
              <w:rPr>
                <w:rFonts w:ascii="Cambria" w:hAnsi="Cambria"/>
                <w:b/>
                <w:bCs/>
                <w:sz w:val="20"/>
                <w:szCs w:val="20"/>
              </w:rPr>
              <w:t xml:space="preserve"> </w:t>
            </w:r>
            <w:r w:rsidR="009F54DD" w:rsidRPr="00C43406">
              <w:rPr>
                <w:rFonts w:ascii="Cambria" w:hAnsi="Cambria"/>
                <w:b/>
                <w:bCs/>
                <w:sz w:val="20"/>
                <w:szCs w:val="20"/>
              </w:rPr>
              <w:t>PGDE Post-14 Education</w:t>
            </w:r>
          </w:p>
          <w:p w14:paraId="69F14CE3" w14:textId="3F574C10" w:rsidR="00AE0D6F" w:rsidRPr="00C43406" w:rsidRDefault="00EE1D6A" w:rsidP="009D30D2">
            <w:pPr>
              <w:jc w:val="center"/>
              <w:rPr>
                <w:rFonts w:ascii="Cambria" w:hAnsi="Cambria"/>
                <w:b/>
                <w:bCs/>
                <w:sz w:val="20"/>
                <w:szCs w:val="20"/>
              </w:rPr>
            </w:pPr>
            <w:r w:rsidRPr="00C43406">
              <w:rPr>
                <w:rFonts w:ascii="Cambria" w:hAnsi="Cambria"/>
                <w:b/>
                <w:bCs/>
                <w:sz w:val="20"/>
                <w:szCs w:val="20"/>
              </w:rPr>
              <w:t xml:space="preserve"> </w:t>
            </w:r>
            <w:r w:rsidR="009D30D2" w:rsidRPr="00C43406">
              <w:rPr>
                <w:rFonts w:ascii="Cambria" w:hAnsi="Cambria"/>
                <w:b/>
                <w:bCs/>
                <w:sz w:val="20"/>
                <w:szCs w:val="20"/>
              </w:rPr>
              <w:t>‘Working creatively with others to enhance life chances’</w:t>
            </w:r>
          </w:p>
        </w:tc>
      </w:tr>
      <w:tr w:rsidR="004009A7" w:rsidRPr="00C43406" w14:paraId="06170D5F" w14:textId="77777777" w:rsidTr="00442355">
        <w:trPr>
          <w:trHeight w:val="126"/>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5CD2C8F6" w14:textId="5D848E3C" w:rsidR="004009A7" w:rsidRPr="00C43406" w:rsidRDefault="004009A7">
            <w:pPr>
              <w:jc w:val="both"/>
              <w:rPr>
                <w:rFonts w:ascii="Cambria" w:hAnsi="Cambria"/>
                <w:b/>
                <w:bCs/>
                <w:sz w:val="20"/>
                <w:szCs w:val="20"/>
              </w:rPr>
            </w:pPr>
            <w:r w:rsidRPr="00C43406">
              <w:rPr>
                <w:rFonts w:ascii="Cambria" w:hAnsi="Cambria"/>
                <w:b/>
                <w:bCs/>
                <w:sz w:val="20"/>
                <w:szCs w:val="20"/>
              </w:rPr>
              <w:t>Name of trainee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141C29F0" w14:textId="3FCFA465" w:rsidR="004009A7" w:rsidRPr="00C43406" w:rsidRDefault="004009A7">
            <w:pPr>
              <w:jc w:val="both"/>
              <w:rPr>
                <w:rFonts w:ascii="Cambria" w:hAnsi="Cambria"/>
                <w:b/>
                <w:bCs/>
                <w:sz w:val="20"/>
                <w:szCs w:val="20"/>
              </w:rPr>
            </w:pPr>
            <w:r w:rsidRPr="00C43406">
              <w:rPr>
                <w:rFonts w:ascii="Cambria" w:hAnsi="Cambria"/>
                <w:b/>
                <w:bCs/>
                <w:sz w:val="20"/>
                <w:szCs w:val="20"/>
              </w:rPr>
              <w:t>Trainee ID no.</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C43406" w:rsidRDefault="004009A7">
            <w:pPr>
              <w:jc w:val="both"/>
              <w:rPr>
                <w:rFonts w:ascii="Cambria" w:hAnsi="Cambria"/>
                <w:b/>
                <w:bCs/>
                <w:sz w:val="20"/>
                <w:szCs w:val="20"/>
              </w:rPr>
            </w:pPr>
          </w:p>
        </w:tc>
      </w:tr>
      <w:tr w:rsidR="004009A7" w:rsidRPr="00C43406" w14:paraId="7196D986"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3449CC42" w14:textId="1934EA31" w:rsidR="004009A7" w:rsidRPr="00C43406" w:rsidRDefault="004009A7">
            <w:pPr>
              <w:jc w:val="both"/>
              <w:rPr>
                <w:rFonts w:ascii="Cambria" w:hAnsi="Cambria"/>
                <w:b/>
                <w:bCs/>
                <w:sz w:val="20"/>
                <w:szCs w:val="20"/>
              </w:rPr>
            </w:pPr>
            <w:r w:rsidRPr="00C43406">
              <w:rPr>
                <w:rFonts w:ascii="Cambria" w:hAnsi="Cambria"/>
                <w:b/>
                <w:bCs/>
                <w:sz w:val="20"/>
                <w:szCs w:val="20"/>
              </w:rPr>
              <w:t>Name of mentor</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0FFB993F" w14:textId="02556042" w:rsidR="004009A7" w:rsidRPr="00C43406" w:rsidRDefault="004009A7">
            <w:pPr>
              <w:jc w:val="both"/>
              <w:rPr>
                <w:rFonts w:ascii="Cambria" w:hAnsi="Cambria"/>
                <w:b/>
                <w:bCs/>
                <w:sz w:val="20"/>
                <w:szCs w:val="20"/>
              </w:rPr>
            </w:pPr>
            <w:r w:rsidRPr="00C43406">
              <w:rPr>
                <w:rFonts w:ascii="Cambria" w:hAnsi="Cambria"/>
                <w:b/>
                <w:bCs/>
                <w:sz w:val="20"/>
                <w:szCs w:val="20"/>
              </w:rPr>
              <w:t>Professional Practice phase</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7061C386" w14:textId="5E757943" w:rsidR="004009A7" w:rsidRPr="00C43406" w:rsidRDefault="00442355">
            <w:pPr>
              <w:jc w:val="both"/>
              <w:rPr>
                <w:rFonts w:ascii="Cambria" w:hAnsi="Cambria"/>
                <w:b/>
                <w:bCs/>
                <w:sz w:val="20"/>
                <w:szCs w:val="20"/>
              </w:rPr>
            </w:pPr>
            <w:r>
              <w:rPr>
                <w:rFonts w:ascii="Cambria" w:hAnsi="Cambria"/>
                <w:b/>
                <w:bCs/>
                <w:sz w:val="20"/>
                <w:szCs w:val="20"/>
              </w:rPr>
              <w:t xml:space="preserve">DEVELOPMENTAL </w:t>
            </w:r>
          </w:p>
        </w:tc>
      </w:tr>
      <w:tr w:rsidR="004009A7" w:rsidRPr="00C43406" w14:paraId="4FBA03EC"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5AC0749B" w14:textId="5072B3EB" w:rsidR="004009A7" w:rsidRPr="00C43406" w:rsidRDefault="004009A7">
            <w:pPr>
              <w:jc w:val="both"/>
              <w:rPr>
                <w:rFonts w:ascii="Cambria" w:hAnsi="Cambria"/>
                <w:b/>
                <w:bCs/>
                <w:sz w:val="20"/>
                <w:szCs w:val="20"/>
              </w:rPr>
            </w:pPr>
            <w:r w:rsidRPr="00C43406">
              <w:rPr>
                <w:rFonts w:ascii="Cambria" w:hAnsi="Cambria"/>
                <w:b/>
                <w:bCs/>
                <w:sz w:val="20"/>
                <w:szCs w:val="20"/>
              </w:rPr>
              <w:t>Name of Link Tutor</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C43406" w:rsidRDefault="004009A7">
            <w:pPr>
              <w:jc w:val="both"/>
              <w:rPr>
                <w:rFonts w:ascii="Cambria" w:hAnsi="Cambria"/>
                <w:b/>
                <w:bCs/>
                <w:sz w:val="20"/>
                <w:szCs w:val="20"/>
              </w:rPr>
            </w:pP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3651F684" w14:textId="4EB0854D" w:rsidR="004009A7" w:rsidRPr="00C43406" w:rsidRDefault="004009A7">
            <w:pPr>
              <w:jc w:val="both"/>
              <w:rPr>
                <w:rFonts w:ascii="Cambria" w:hAnsi="Cambria"/>
                <w:b/>
                <w:bCs/>
                <w:sz w:val="20"/>
                <w:szCs w:val="20"/>
              </w:rPr>
            </w:pPr>
            <w:r w:rsidRPr="00C43406">
              <w:rPr>
                <w:rFonts w:ascii="Cambria" w:hAnsi="Cambria"/>
                <w:b/>
                <w:bCs/>
                <w:sz w:val="20"/>
                <w:szCs w:val="20"/>
              </w:rPr>
              <w:t>Name of setting</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C43406" w:rsidRDefault="004009A7">
            <w:pPr>
              <w:jc w:val="both"/>
              <w:rPr>
                <w:rFonts w:ascii="Cambria" w:hAnsi="Cambria"/>
                <w:b/>
                <w:bCs/>
                <w:sz w:val="20"/>
                <w:szCs w:val="20"/>
              </w:rPr>
            </w:pPr>
          </w:p>
        </w:tc>
      </w:tr>
      <w:tr w:rsidR="004009A7" w:rsidRPr="00C43406" w14:paraId="4FA3BD19"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2D91E0C7" w14:textId="38D0AB5A" w:rsidR="004009A7" w:rsidRPr="00C43406" w:rsidRDefault="004009A7">
            <w:pPr>
              <w:jc w:val="both"/>
              <w:rPr>
                <w:rFonts w:ascii="Cambria" w:hAnsi="Cambria"/>
                <w:b/>
                <w:bCs/>
                <w:sz w:val="20"/>
                <w:szCs w:val="20"/>
              </w:rPr>
            </w:pPr>
            <w:r w:rsidRPr="00C43406">
              <w:rPr>
                <w:rFonts w:ascii="Cambria" w:hAnsi="Cambria"/>
                <w:b/>
                <w:bCs/>
                <w:sz w:val="20"/>
                <w:szCs w:val="20"/>
              </w:rPr>
              <w:t>Programme</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0329B08D" w:rsidR="004009A7" w:rsidRPr="00C43406" w:rsidRDefault="009F54DD">
            <w:pPr>
              <w:jc w:val="both"/>
              <w:rPr>
                <w:rFonts w:ascii="Cambria" w:hAnsi="Cambria"/>
                <w:b/>
                <w:bCs/>
                <w:sz w:val="20"/>
                <w:szCs w:val="20"/>
              </w:rPr>
            </w:pPr>
            <w:r w:rsidRPr="00C43406">
              <w:rPr>
                <w:rFonts w:ascii="Cambria" w:hAnsi="Cambria"/>
                <w:b/>
                <w:bCs/>
                <w:sz w:val="20"/>
                <w:szCs w:val="20"/>
              </w:rPr>
              <w:t>PGDE</w:t>
            </w:r>
            <w:r w:rsidR="000745F8" w:rsidRPr="00C43406">
              <w:rPr>
                <w:rFonts w:ascii="Cambria" w:hAnsi="Cambria"/>
                <w:b/>
                <w:bCs/>
                <w:sz w:val="20"/>
                <w:szCs w:val="20"/>
              </w:rPr>
              <w:t xml:space="preserve"> </w:t>
            </w:r>
            <w:r w:rsidRPr="00C43406">
              <w:rPr>
                <w:rFonts w:ascii="Cambria" w:hAnsi="Cambria"/>
                <w:b/>
                <w:bCs/>
                <w:sz w:val="20"/>
                <w:szCs w:val="20"/>
              </w:rPr>
              <w:t>Post-14 Education</w:t>
            </w:r>
          </w:p>
        </w:tc>
        <w:tc>
          <w:tcPr>
            <w:tcW w:w="3023" w:type="dxa"/>
            <w:gridSpan w:val="3"/>
            <w:tcBorders>
              <w:top w:val="single" w:sz="4" w:space="0" w:color="auto"/>
              <w:left w:val="single" w:sz="4" w:space="0" w:color="auto"/>
              <w:bottom w:val="single" w:sz="4" w:space="0" w:color="auto"/>
              <w:right w:val="single" w:sz="4" w:space="0" w:color="auto"/>
            </w:tcBorders>
            <w:shd w:val="clear" w:color="auto" w:fill="auto"/>
          </w:tcPr>
          <w:p w14:paraId="66B60088" w14:textId="68058C76" w:rsidR="004009A7" w:rsidRPr="00C43406" w:rsidRDefault="004009A7">
            <w:pPr>
              <w:jc w:val="both"/>
              <w:rPr>
                <w:rFonts w:ascii="Cambria" w:hAnsi="Cambria"/>
                <w:b/>
                <w:bCs/>
                <w:sz w:val="20"/>
                <w:szCs w:val="20"/>
              </w:rPr>
            </w:pPr>
            <w:r w:rsidRPr="00C43406">
              <w:rPr>
                <w:rFonts w:ascii="Cambria" w:hAnsi="Cambria"/>
                <w:b/>
                <w:bCs/>
                <w:sz w:val="20"/>
                <w:szCs w:val="20"/>
              </w:rPr>
              <w:t>Week beginning</w:t>
            </w:r>
          </w:p>
        </w:tc>
        <w:tc>
          <w:tcPr>
            <w:tcW w:w="4346" w:type="dxa"/>
            <w:gridSpan w:val="5"/>
            <w:tcBorders>
              <w:top w:val="single" w:sz="4" w:space="0" w:color="auto"/>
              <w:left w:val="single" w:sz="4" w:space="0" w:color="auto"/>
              <w:bottom w:val="single" w:sz="4" w:space="0" w:color="auto"/>
              <w:right w:val="single" w:sz="4" w:space="0" w:color="auto"/>
            </w:tcBorders>
            <w:shd w:val="clear" w:color="auto" w:fill="auto"/>
          </w:tcPr>
          <w:p w14:paraId="2E3558FD" w14:textId="4FE967AE" w:rsidR="004009A7" w:rsidRPr="00C43406" w:rsidRDefault="001B6008">
            <w:pPr>
              <w:jc w:val="both"/>
              <w:rPr>
                <w:rFonts w:ascii="Cambria" w:hAnsi="Cambria"/>
                <w:b/>
                <w:bCs/>
                <w:sz w:val="20"/>
                <w:szCs w:val="20"/>
              </w:rPr>
            </w:pPr>
            <w:r>
              <w:rPr>
                <w:rFonts w:ascii="Cambria" w:hAnsi="Cambria"/>
                <w:b/>
                <w:bCs/>
                <w:sz w:val="20"/>
                <w:szCs w:val="20"/>
              </w:rPr>
              <w:t>19</w:t>
            </w:r>
            <w:r w:rsidRPr="001B6008">
              <w:rPr>
                <w:rFonts w:ascii="Cambria" w:hAnsi="Cambria"/>
                <w:b/>
                <w:bCs/>
                <w:sz w:val="20"/>
                <w:szCs w:val="20"/>
                <w:vertAlign w:val="superscript"/>
              </w:rPr>
              <w:t>th</w:t>
            </w:r>
            <w:r>
              <w:rPr>
                <w:rFonts w:ascii="Cambria" w:hAnsi="Cambria"/>
                <w:b/>
                <w:bCs/>
                <w:sz w:val="20"/>
                <w:szCs w:val="20"/>
              </w:rPr>
              <w:t xml:space="preserve"> </w:t>
            </w:r>
            <w:r w:rsidR="00D01EC5">
              <w:rPr>
                <w:rFonts w:ascii="Cambria" w:hAnsi="Cambria"/>
                <w:b/>
                <w:bCs/>
                <w:sz w:val="20"/>
                <w:szCs w:val="20"/>
              </w:rPr>
              <w:t>FEBRUARY</w:t>
            </w:r>
            <w:r w:rsidR="00442355">
              <w:rPr>
                <w:rFonts w:ascii="Cambria" w:hAnsi="Cambria"/>
                <w:b/>
                <w:bCs/>
                <w:sz w:val="20"/>
                <w:szCs w:val="20"/>
              </w:rPr>
              <w:t xml:space="preserve"> 2024</w:t>
            </w:r>
          </w:p>
        </w:tc>
      </w:tr>
      <w:tr w:rsidR="000745F8" w:rsidRPr="00C43406" w14:paraId="25B9C3C9" w14:textId="77777777" w:rsidTr="00442355">
        <w:trPr>
          <w:trHeight w:val="123"/>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7EF7721D" w14:textId="710BC591" w:rsidR="00C22CD9" w:rsidRPr="00C43406" w:rsidRDefault="00C22CD9" w:rsidP="005113AE">
            <w:pPr>
              <w:jc w:val="center"/>
              <w:rPr>
                <w:rFonts w:ascii="Cambria" w:hAnsi="Cambria"/>
                <w:b/>
                <w:bCs/>
                <w:sz w:val="20"/>
                <w:szCs w:val="20"/>
              </w:rPr>
            </w:pPr>
            <w:r w:rsidRPr="00C43406">
              <w:rPr>
                <w:rFonts w:ascii="Cambria" w:hAnsi="Cambria"/>
                <w:b/>
                <w:bCs/>
                <w:sz w:val="20"/>
                <w:szCs w:val="20"/>
              </w:rPr>
              <w:t>Days trainee has attended this week</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BCD715B" w14:textId="45C24A70" w:rsidR="00C22CD9" w:rsidRPr="00C43406" w:rsidRDefault="000745F8" w:rsidP="001D6BD6">
            <w:pPr>
              <w:rPr>
                <w:rFonts w:ascii="Cambria" w:hAnsi="Cambria"/>
                <w:b/>
                <w:bCs/>
                <w:sz w:val="20"/>
                <w:szCs w:val="20"/>
              </w:rPr>
            </w:pPr>
            <w:r w:rsidRPr="00C43406">
              <w:rPr>
                <w:rFonts w:ascii="Cambria" w:hAnsi="Cambria"/>
                <w:b/>
                <w:bCs/>
                <w:sz w:val="20"/>
                <w:szCs w:val="20"/>
              </w:rPr>
              <w:t xml:space="preserve">          </w:t>
            </w:r>
            <w:r w:rsidR="00C22CD9" w:rsidRPr="00C43406">
              <w:rPr>
                <w:rFonts w:ascii="Cambria" w:hAnsi="Cambria"/>
                <w:b/>
                <w:bCs/>
                <w:sz w:val="20"/>
                <w:szCs w:val="20"/>
              </w:rPr>
              <w:t>T</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3827883" w14:textId="115F3FDE" w:rsidR="00C22CD9" w:rsidRPr="00C43406" w:rsidRDefault="00C22CD9" w:rsidP="005113AE">
            <w:pPr>
              <w:jc w:val="center"/>
              <w:rPr>
                <w:rFonts w:ascii="Cambria" w:hAnsi="Cambria"/>
                <w:b/>
                <w:bCs/>
                <w:sz w:val="20"/>
                <w:szCs w:val="20"/>
              </w:rPr>
            </w:pPr>
            <w:r w:rsidRPr="00C43406">
              <w:rPr>
                <w:rFonts w:ascii="Cambria" w:hAnsi="Cambria"/>
                <w:b/>
                <w:bCs/>
                <w:sz w:val="20"/>
                <w:szCs w:val="20"/>
              </w:rPr>
              <w:t>W</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562C3B" w14:textId="0E21E4A5" w:rsidR="00C22CD9" w:rsidRPr="00C43406" w:rsidRDefault="00C22CD9" w:rsidP="005113AE">
            <w:pPr>
              <w:jc w:val="center"/>
              <w:rPr>
                <w:rFonts w:ascii="Cambria" w:hAnsi="Cambria"/>
                <w:b/>
                <w:bCs/>
                <w:sz w:val="20"/>
                <w:szCs w:val="20"/>
              </w:rPr>
            </w:pPr>
            <w:r w:rsidRPr="00C43406">
              <w:rPr>
                <w:rFonts w:ascii="Cambria" w:hAnsi="Cambria"/>
                <w:b/>
                <w:bCs/>
                <w:sz w:val="20"/>
                <w:szCs w:val="20"/>
              </w:rPr>
              <w:t>T</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02A5213D" w14:textId="454D3BDF" w:rsidR="00C22CD9" w:rsidRPr="00C43406" w:rsidRDefault="00C22CD9" w:rsidP="005113AE">
            <w:pPr>
              <w:jc w:val="center"/>
              <w:rPr>
                <w:rFonts w:ascii="Cambria" w:hAnsi="Cambria"/>
                <w:b/>
                <w:bCs/>
                <w:sz w:val="20"/>
                <w:szCs w:val="20"/>
              </w:rPr>
            </w:pPr>
            <w:r w:rsidRPr="00C43406">
              <w:rPr>
                <w:rFonts w:ascii="Cambria" w:hAnsi="Cambria"/>
                <w:b/>
                <w:bCs/>
                <w:sz w:val="20"/>
                <w:szCs w:val="20"/>
              </w:rPr>
              <w:t>F</w:t>
            </w:r>
          </w:p>
        </w:tc>
        <w:tc>
          <w:tcPr>
            <w:tcW w:w="1401"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28F5DC09" w:rsidR="00C22CD9" w:rsidRPr="00C43406" w:rsidRDefault="00C22CD9"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solo teaching h</w:t>
            </w:r>
            <w:r w:rsidR="001D6BD6" w:rsidRPr="00C43406">
              <w:rPr>
                <w:rFonts w:ascii="Cambria" w:hAnsi="Cambria"/>
                <w:b/>
                <w:bCs/>
                <w:sz w:val="20"/>
                <w:szCs w:val="20"/>
              </w:rPr>
              <w:t>ours to date</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8F46611" w14:textId="556B249A" w:rsidR="00C22CD9" w:rsidRPr="00C43406" w:rsidRDefault="00C22CD9" w:rsidP="005113AE">
            <w:pPr>
              <w:jc w:val="center"/>
              <w:rPr>
                <w:rFonts w:ascii="Cambria" w:hAnsi="Cambria"/>
                <w:b/>
                <w:bCs/>
                <w:sz w:val="20"/>
                <w:szCs w:val="20"/>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14:paraId="62FC6C98" w14:textId="491903F8" w:rsidR="00C22CD9" w:rsidRPr="00C43406" w:rsidRDefault="001D6BD6" w:rsidP="005113AE">
            <w:pPr>
              <w:jc w:val="center"/>
              <w:rPr>
                <w:rFonts w:ascii="Cambria" w:hAnsi="Cambria"/>
                <w:b/>
                <w:bCs/>
                <w:sz w:val="20"/>
                <w:szCs w:val="20"/>
              </w:rPr>
            </w:pPr>
            <w:r w:rsidRPr="00C43406">
              <w:rPr>
                <w:rFonts w:ascii="Cambria" w:hAnsi="Cambria"/>
                <w:b/>
                <w:bCs/>
                <w:sz w:val="20"/>
                <w:szCs w:val="20"/>
              </w:rPr>
              <w:t xml:space="preserve">ETF </w:t>
            </w:r>
            <w:r w:rsidR="00E147E5" w:rsidRPr="00C43406">
              <w:rPr>
                <w:rFonts w:ascii="Cambria" w:hAnsi="Cambria"/>
                <w:b/>
                <w:bCs/>
                <w:sz w:val="20"/>
                <w:szCs w:val="20"/>
              </w:rPr>
              <w:t>teaching o</w:t>
            </w:r>
            <w:r w:rsidRPr="00C43406">
              <w:rPr>
                <w:rFonts w:ascii="Cambria" w:hAnsi="Cambria"/>
                <w:b/>
                <w:bCs/>
                <w:sz w:val="20"/>
                <w:szCs w:val="20"/>
              </w:rPr>
              <w:t>bservations to date</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67CE1594" w:rsidR="00C22CD9" w:rsidRPr="00C43406" w:rsidRDefault="00C22CD9" w:rsidP="005113AE">
            <w:pPr>
              <w:jc w:val="center"/>
              <w:rPr>
                <w:rFonts w:ascii="Cambria" w:hAnsi="Cambria"/>
                <w:b/>
                <w:bCs/>
                <w:sz w:val="20"/>
                <w:szCs w:val="20"/>
              </w:rPr>
            </w:pPr>
          </w:p>
        </w:tc>
      </w:tr>
      <w:tr w:rsidR="0057496A" w:rsidRPr="00C43406" w14:paraId="0EB57F5F" w14:textId="77777777" w:rsidTr="00442355">
        <w:trPr>
          <w:trHeight w:val="650"/>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211731FE" w14:textId="250F6EA0" w:rsidR="0057496A" w:rsidRPr="00C43406" w:rsidRDefault="002D71BC" w:rsidP="008A67D8">
            <w:pPr>
              <w:rPr>
                <w:rFonts w:ascii="Cambria" w:hAnsi="Cambria"/>
                <w:b/>
                <w:bCs/>
                <w:sz w:val="20"/>
                <w:szCs w:val="20"/>
              </w:rPr>
            </w:pPr>
            <w:r w:rsidRPr="00C43406">
              <w:rPr>
                <w:rFonts w:ascii="Cambria" w:hAnsi="Cambria"/>
                <w:b/>
                <w:bCs/>
                <w:sz w:val="20"/>
                <w:szCs w:val="20"/>
              </w:rPr>
              <w:t>Key reading for the week</w:t>
            </w:r>
          </w:p>
          <w:p w14:paraId="4E67F24B" w14:textId="11E5B013" w:rsidR="005120DA" w:rsidRPr="00C43406" w:rsidRDefault="005120DA" w:rsidP="005120DA">
            <w:pPr>
              <w:jc w:val="center"/>
              <w:rPr>
                <w:rFonts w:ascii="Cambria" w:hAnsi="Cambria"/>
                <w:b/>
                <w:bCs/>
                <w:sz w:val="20"/>
                <w:szCs w:val="20"/>
              </w:rPr>
            </w:pPr>
            <w:r w:rsidRPr="00C43406">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shd w:val="clear" w:color="auto" w:fill="auto"/>
          </w:tcPr>
          <w:p w14:paraId="6B054F20" w14:textId="77777777" w:rsidR="001B6008" w:rsidRPr="001B6008" w:rsidRDefault="00430A20" w:rsidP="001B6008">
            <w:pPr>
              <w:spacing w:after="0" w:line="240" w:lineRule="auto"/>
              <w:jc w:val="both"/>
              <w:rPr>
                <w:rFonts w:ascii="Cambria" w:hAnsi="Cambria" w:cstheme="minorHAnsi"/>
                <w:b/>
                <w:bCs/>
                <w:sz w:val="20"/>
                <w:szCs w:val="20"/>
              </w:rPr>
            </w:pPr>
            <w:r w:rsidRPr="00430A20">
              <w:rPr>
                <w:rFonts w:ascii="Cambria" w:hAnsi="Cambria" w:cstheme="minorHAnsi"/>
                <w:b/>
                <w:bCs/>
                <w:sz w:val="20"/>
                <w:szCs w:val="20"/>
              </w:rPr>
              <w:t xml:space="preserve"> </w:t>
            </w:r>
            <w:r w:rsidR="001B6008" w:rsidRPr="001B6008">
              <w:rPr>
                <w:rFonts w:ascii="Cambria" w:hAnsi="Cambria" w:cstheme="minorHAnsi"/>
                <w:b/>
                <w:bCs/>
                <w:sz w:val="20"/>
                <w:szCs w:val="20"/>
              </w:rPr>
              <w:t>Summary: The Department for Education’s online Workload Challenge consultation ran between 22 October and 21 November 2014. It asked three key open-ended questions: 1. Tell us about the unnecessary and unproductive tasks which take up too much of your time. Where do these come from? 2. Send us your solutions and strategies for tackling workload – what works well in your school? 3. What do you think should be done to tackle unnecessary workload – by government, by schools or by others? A report was produced which presented analyses of an initial 10% sample (1,680) of consultation respondents, who answered all three questions. This report presents the findings from the analyses of a sample of 240 members of staff working in sixth form colleges, of which the majority (71%) were classroom teachers. Respondents in the sample of sixth form colleges noted that the tasks that they</w:t>
            </w:r>
          </w:p>
          <w:p w14:paraId="45B960B5" w14:textId="77777777" w:rsidR="001B6008" w:rsidRPr="001B6008" w:rsidRDefault="001B6008" w:rsidP="001B6008">
            <w:pPr>
              <w:spacing w:after="0" w:line="240" w:lineRule="auto"/>
              <w:jc w:val="both"/>
              <w:rPr>
                <w:rFonts w:ascii="Cambria" w:hAnsi="Cambria" w:cstheme="minorHAnsi"/>
                <w:b/>
                <w:bCs/>
                <w:sz w:val="20"/>
                <w:szCs w:val="20"/>
              </w:rPr>
            </w:pPr>
            <w:r w:rsidRPr="001B6008">
              <w:rPr>
                <w:rFonts w:ascii="Cambria" w:hAnsi="Cambria" w:cstheme="minorHAnsi"/>
                <w:b/>
                <w:bCs/>
                <w:sz w:val="20"/>
                <w:szCs w:val="20"/>
              </w:rPr>
              <w:t>undertake are not ‘unnecessary’ or ‘unproductive’, but the amount of work that is required within the time that they have creates the burden on their workload.  The most frequently mentioned source of unnecessary and unproductive workload, according to 75% of respondents in the sample of sixth form colleges, was within the category of school administration and management. Other common broad themes that responses corresponded to were accountability and lesson planning and policies, assessment, and reporting administration.</w:t>
            </w:r>
          </w:p>
          <w:p w14:paraId="73BFD0C0" w14:textId="77777777" w:rsidR="001B6008" w:rsidRPr="001B6008" w:rsidRDefault="001B6008" w:rsidP="001B6008">
            <w:pPr>
              <w:spacing w:after="0" w:line="240" w:lineRule="auto"/>
              <w:jc w:val="both"/>
              <w:rPr>
                <w:rFonts w:ascii="Cambria" w:hAnsi="Cambria" w:cstheme="minorHAnsi"/>
                <w:b/>
                <w:bCs/>
                <w:sz w:val="20"/>
                <w:szCs w:val="20"/>
              </w:rPr>
            </w:pPr>
          </w:p>
          <w:p w14:paraId="20B83D27" w14:textId="77777777" w:rsidR="001B6008" w:rsidRPr="001B6008" w:rsidRDefault="001B6008" w:rsidP="001B6008">
            <w:pPr>
              <w:spacing w:after="0" w:line="240" w:lineRule="auto"/>
              <w:jc w:val="both"/>
              <w:rPr>
                <w:rFonts w:ascii="Cambria" w:hAnsi="Cambria" w:cstheme="minorHAnsi"/>
                <w:b/>
                <w:bCs/>
                <w:sz w:val="20"/>
                <w:szCs w:val="20"/>
              </w:rPr>
            </w:pPr>
            <w:r w:rsidRPr="001B6008">
              <w:rPr>
                <w:rFonts w:ascii="Cambria" w:hAnsi="Cambria" w:cstheme="minorHAnsi"/>
                <w:b/>
                <w:bCs/>
                <w:sz w:val="20"/>
                <w:szCs w:val="20"/>
              </w:rPr>
              <w:t>Limitations: The Workload Challenge survey asked three key open-ended consultation questions, however when reading and interpreting the results it is noteworthy that respondents were self-selecting so the results should not be read as being representative of the overall college workforce.</w:t>
            </w:r>
          </w:p>
          <w:p w14:paraId="570ECE1E" w14:textId="77777777" w:rsidR="001B6008" w:rsidRPr="001B6008" w:rsidRDefault="001B6008" w:rsidP="001B6008">
            <w:pPr>
              <w:spacing w:after="0" w:line="240" w:lineRule="auto"/>
              <w:jc w:val="both"/>
              <w:rPr>
                <w:rFonts w:ascii="Cambria" w:hAnsi="Cambria" w:cstheme="minorHAnsi"/>
                <w:b/>
                <w:bCs/>
                <w:sz w:val="20"/>
                <w:szCs w:val="20"/>
              </w:rPr>
            </w:pPr>
            <w:r w:rsidRPr="001B6008">
              <w:rPr>
                <w:rFonts w:ascii="Cambria" w:hAnsi="Cambria" w:cstheme="minorHAnsi"/>
                <w:b/>
                <w:bCs/>
                <w:sz w:val="20"/>
                <w:szCs w:val="20"/>
              </w:rPr>
              <w:t xml:space="preserve">The sample of sixth form college responses was coded using the same framework used in the analysis of the 10% sample of all responses to allow comparison with the main findings. The analysis is presented in this report along with direct quotes which illustrate or exemplify the findings. Where respondents have noted what they thought to be useful or good practice, this is highlighted using shaded boxes. </w:t>
            </w:r>
          </w:p>
          <w:p w14:paraId="6E0643A4" w14:textId="77777777" w:rsidR="001B6008" w:rsidRPr="001B6008" w:rsidRDefault="001B6008" w:rsidP="001B6008">
            <w:pPr>
              <w:spacing w:after="0" w:line="240" w:lineRule="auto"/>
              <w:jc w:val="both"/>
              <w:rPr>
                <w:rFonts w:ascii="Cambria" w:hAnsi="Cambria" w:cstheme="minorHAnsi"/>
                <w:b/>
                <w:bCs/>
                <w:sz w:val="20"/>
                <w:szCs w:val="20"/>
              </w:rPr>
            </w:pPr>
          </w:p>
          <w:p w14:paraId="015DD641" w14:textId="77777777" w:rsidR="001B6008" w:rsidRPr="001B6008" w:rsidRDefault="001B6008" w:rsidP="001B6008">
            <w:pPr>
              <w:spacing w:after="0" w:line="240" w:lineRule="auto"/>
              <w:jc w:val="both"/>
              <w:rPr>
                <w:rFonts w:ascii="Cambria" w:hAnsi="Cambria" w:cstheme="minorHAnsi"/>
                <w:b/>
                <w:bCs/>
                <w:sz w:val="20"/>
                <w:szCs w:val="20"/>
              </w:rPr>
            </w:pPr>
            <w:r w:rsidRPr="001B6008">
              <w:rPr>
                <w:rFonts w:ascii="Cambria" w:hAnsi="Cambria" w:cstheme="minorHAnsi"/>
                <w:b/>
                <w:bCs/>
                <w:sz w:val="20"/>
                <w:szCs w:val="20"/>
              </w:rPr>
              <w:t>Reference: Gibson, S., Oliver, L. and Dennison, M. (2015) Workload Challenge: Analysis of teacher consultation responses. Department for Education</w:t>
            </w:r>
          </w:p>
          <w:p w14:paraId="07F12FD8" w14:textId="63ADF792" w:rsidR="001B6008" w:rsidRPr="001B6008" w:rsidRDefault="001B6008" w:rsidP="001B6008">
            <w:pPr>
              <w:spacing w:after="0" w:line="240" w:lineRule="auto"/>
              <w:jc w:val="both"/>
              <w:rPr>
                <w:rFonts w:ascii="Cambria" w:hAnsi="Cambria" w:cstheme="minorHAnsi"/>
                <w:b/>
                <w:bCs/>
                <w:sz w:val="20"/>
                <w:szCs w:val="20"/>
              </w:rPr>
            </w:pPr>
            <w:hyperlink r:id="rId11" w:history="1">
              <w:r w:rsidRPr="007F7244">
                <w:rPr>
                  <w:rStyle w:val="Hyperlink"/>
                  <w:rFonts w:ascii="Cambria" w:hAnsi="Cambria" w:cstheme="minorHAnsi"/>
                  <w:b/>
                  <w:bCs/>
                  <w:sz w:val="20"/>
                  <w:szCs w:val="20"/>
                </w:rPr>
                <w:t>https://assets.publishing.service.gov.uk/media/5a7ff89fe5274a2e87db7165/DFE-RR456A_-_Workload_Challenge_Analysis_of_teacher_consultation_responses_sixth_form_colleges.pdf</w:t>
              </w:r>
            </w:hyperlink>
            <w:r>
              <w:rPr>
                <w:rFonts w:ascii="Cambria" w:hAnsi="Cambria" w:cstheme="minorHAnsi"/>
                <w:b/>
                <w:bCs/>
                <w:sz w:val="20"/>
                <w:szCs w:val="20"/>
              </w:rPr>
              <w:t xml:space="preserve"> </w:t>
            </w:r>
          </w:p>
          <w:p w14:paraId="6071F449" w14:textId="4AC515BC" w:rsidR="00866227" w:rsidRPr="00C43406" w:rsidRDefault="00866227" w:rsidP="00D01EC5">
            <w:pPr>
              <w:jc w:val="both"/>
              <w:rPr>
                <w:rFonts w:ascii="Cambria" w:hAnsi="Cambria" w:cstheme="minorHAnsi"/>
                <w:b/>
                <w:bCs/>
                <w:sz w:val="20"/>
                <w:szCs w:val="20"/>
              </w:rPr>
            </w:pPr>
          </w:p>
        </w:tc>
      </w:tr>
      <w:tr w:rsidR="00442355" w:rsidRPr="00C43406" w14:paraId="0811EF35" w14:textId="77777777" w:rsidTr="00442355">
        <w:trPr>
          <w:trHeight w:val="650"/>
        </w:trPr>
        <w:tc>
          <w:tcPr>
            <w:tcW w:w="1504" w:type="dxa"/>
            <w:tcBorders>
              <w:top w:val="single" w:sz="4" w:space="0" w:color="auto"/>
              <w:left w:val="single" w:sz="4" w:space="0" w:color="auto"/>
              <w:bottom w:val="single" w:sz="4" w:space="0" w:color="auto"/>
              <w:right w:val="single" w:sz="4" w:space="0" w:color="auto"/>
            </w:tcBorders>
            <w:shd w:val="clear" w:color="auto" w:fill="auto"/>
          </w:tcPr>
          <w:p w14:paraId="10E114CD" w14:textId="3B072985"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Support for mentoring in the FE phase</w:t>
            </w:r>
          </w:p>
          <w:p w14:paraId="25E7C692" w14:textId="77777777" w:rsidR="00442355" w:rsidRPr="00C43406" w:rsidRDefault="00442355" w:rsidP="00442355">
            <w:pPr>
              <w:spacing w:line="237" w:lineRule="auto"/>
              <w:jc w:val="center"/>
              <w:rPr>
                <w:rFonts w:ascii="Cambria" w:eastAsia="Georgia" w:hAnsi="Cambria" w:cs="Georgia"/>
                <w:b/>
                <w:sz w:val="20"/>
                <w:szCs w:val="20"/>
              </w:rPr>
            </w:pPr>
          </w:p>
          <w:p w14:paraId="7314DB2E" w14:textId="47B98BEB" w:rsidR="00442355" w:rsidRPr="00C43406" w:rsidRDefault="00442355" w:rsidP="00442355">
            <w:pPr>
              <w:jc w:val="center"/>
              <w:rPr>
                <w:rFonts w:ascii="Cambria" w:hAnsi="Cambria"/>
                <w:b/>
                <w:bCs/>
                <w:sz w:val="20"/>
                <w:szCs w:val="20"/>
              </w:rPr>
            </w:pPr>
            <w:r w:rsidRPr="00C43406">
              <w:rPr>
                <w:rFonts w:ascii="Cambria" w:hAnsi="Cambria"/>
                <w:noProof/>
                <w:sz w:val="20"/>
                <w:szCs w:val="20"/>
              </w:rPr>
              <w:lastRenderedPageBreak/>
              <w:drawing>
                <wp:inline distT="0" distB="0" distL="0" distR="0" wp14:anchorId="34399365" wp14:editId="1FD863C2">
                  <wp:extent cx="58610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2"/>
                          <a:stretch>
                            <a:fillRect/>
                          </a:stretch>
                        </pic:blipFill>
                        <pic:spPr>
                          <a:xfrm>
                            <a:off x="0" y="0"/>
                            <a:ext cx="586105" cy="571500"/>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shd w:val="clear" w:color="auto" w:fill="auto"/>
          </w:tcPr>
          <w:p w14:paraId="32444D51" w14:textId="55F25558" w:rsidR="001B6008" w:rsidRPr="001B6008" w:rsidRDefault="001B6008" w:rsidP="001B6008">
            <w:pPr>
              <w:pStyle w:val="xmsolistparagraph"/>
              <w:rPr>
                <w:rFonts w:ascii="Cambria" w:hAnsi="Cambria"/>
                <w:b/>
                <w:bCs/>
                <w:sz w:val="20"/>
                <w:szCs w:val="20"/>
              </w:rPr>
            </w:pPr>
            <w:hyperlink r:id="rId13" w:history="1">
              <w:r w:rsidRPr="00936730">
                <w:rPr>
                  <w:rStyle w:val="Hyperlink"/>
                  <w:rFonts w:ascii="Cambria" w:hAnsi="Cambria"/>
                  <w:b/>
                  <w:bCs/>
                  <w:sz w:val="20"/>
                  <w:szCs w:val="20"/>
                </w:rPr>
                <w:t>https://www.anngravells.com/information/assessment#&amp;gid=1&amp;pid=1</w:t>
              </w:r>
            </w:hyperlink>
            <w:r w:rsidRPr="001B6008">
              <w:rPr>
                <w:rFonts w:ascii="Cambria" w:hAnsi="Cambria"/>
                <w:b/>
                <w:bCs/>
                <w:sz w:val="20"/>
                <w:szCs w:val="20"/>
              </w:rPr>
              <w:t xml:space="preserve"> – Assessment in FE </w:t>
            </w:r>
          </w:p>
          <w:p w14:paraId="02295E43" w14:textId="0156D8D2" w:rsidR="004F74A5" w:rsidRPr="00AA418D" w:rsidRDefault="001B6008" w:rsidP="001B6008">
            <w:pPr>
              <w:pStyle w:val="xmsolistparagraph"/>
              <w:rPr>
                <w:rFonts w:ascii="Cambria" w:hAnsi="Cambria"/>
                <w:sz w:val="20"/>
                <w:szCs w:val="20"/>
              </w:rPr>
            </w:pPr>
            <w:hyperlink r:id="rId14" w:history="1">
              <w:r w:rsidRPr="001B6008">
                <w:rPr>
                  <w:rStyle w:val="Hyperlink"/>
                  <w:rFonts w:ascii="Cambria" w:hAnsi="Cambria"/>
                  <w:b/>
                  <w:bCs/>
                  <w:sz w:val="20"/>
                  <w:szCs w:val="20"/>
                </w:rPr>
                <w:t>https://www.fenews.co.uk/fe-voices/what-is-assessment/</w:t>
              </w:r>
            </w:hyperlink>
            <w:r w:rsidRPr="001B6008">
              <w:rPr>
                <w:rFonts w:ascii="Cambria" w:hAnsi="Cambria"/>
                <w:b/>
                <w:bCs/>
                <w:sz w:val="20"/>
                <w:szCs w:val="20"/>
              </w:rPr>
              <w:t xml:space="preserve">  - What is assessment in further education?</w:t>
            </w:r>
          </w:p>
        </w:tc>
      </w:tr>
      <w:tr w:rsidR="00442355" w:rsidRPr="00C43406" w14:paraId="242BC6CD" w14:textId="77777777" w:rsidTr="00442355">
        <w:trPr>
          <w:trHeight w:val="262"/>
        </w:trPr>
        <w:tc>
          <w:tcPr>
            <w:tcW w:w="1504" w:type="dxa"/>
            <w:vMerge w:val="restart"/>
            <w:tcBorders>
              <w:top w:val="single" w:sz="4" w:space="0" w:color="auto"/>
              <w:left w:val="single" w:sz="4" w:space="0" w:color="auto"/>
              <w:right w:val="single" w:sz="4" w:space="0" w:color="auto"/>
            </w:tcBorders>
          </w:tcPr>
          <w:p w14:paraId="22257974" w14:textId="53252047" w:rsidR="00442355" w:rsidRPr="00C43406" w:rsidRDefault="00442355" w:rsidP="00442355">
            <w:pPr>
              <w:spacing w:line="237" w:lineRule="auto"/>
              <w:jc w:val="center"/>
              <w:rPr>
                <w:rFonts w:ascii="Cambria" w:hAnsi="Cambria"/>
                <w:b/>
                <w:bCs/>
                <w:sz w:val="20"/>
                <w:szCs w:val="20"/>
              </w:rPr>
            </w:pPr>
          </w:p>
          <w:p w14:paraId="323B0429" w14:textId="77777777" w:rsidR="00442355" w:rsidRPr="00C43406" w:rsidRDefault="00442355" w:rsidP="00442355">
            <w:pPr>
              <w:spacing w:line="237" w:lineRule="auto"/>
              <w:jc w:val="center"/>
              <w:rPr>
                <w:rFonts w:ascii="Cambria" w:hAnsi="Cambria"/>
                <w:b/>
                <w:bCs/>
                <w:sz w:val="20"/>
                <w:szCs w:val="20"/>
              </w:rPr>
            </w:pPr>
          </w:p>
          <w:p w14:paraId="794A60FE" w14:textId="12B12DE9" w:rsidR="00442355" w:rsidRPr="00C43406" w:rsidRDefault="00442355" w:rsidP="00442355">
            <w:pPr>
              <w:spacing w:line="237" w:lineRule="auto"/>
              <w:jc w:val="center"/>
              <w:rPr>
                <w:rFonts w:ascii="Cambria" w:hAnsi="Cambria"/>
                <w:b/>
                <w:bCs/>
                <w:sz w:val="20"/>
                <w:szCs w:val="20"/>
              </w:rPr>
            </w:pPr>
            <w:r w:rsidRPr="00C43406">
              <w:rPr>
                <w:rFonts w:ascii="Cambria" w:hAnsi="Cambria"/>
                <w:b/>
                <w:bCs/>
                <w:sz w:val="20"/>
                <w:szCs w:val="20"/>
              </w:rPr>
              <w:t>Curriculum for the week</w:t>
            </w:r>
          </w:p>
          <w:p w14:paraId="3577F80B" w14:textId="77777777" w:rsidR="00442355" w:rsidRPr="00C43406" w:rsidRDefault="00442355" w:rsidP="00442355">
            <w:pPr>
              <w:rPr>
                <w:rFonts w:ascii="Cambria" w:hAnsi="Cambria"/>
                <w:sz w:val="20"/>
                <w:szCs w:val="20"/>
              </w:rPr>
            </w:pPr>
            <w:r w:rsidRPr="00C43406">
              <w:rPr>
                <w:rFonts w:ascii="Cambria" w:eastAsia="Georgia" w:hAnsi="Cambria" w:cs="Georgia"/>
                <w:sz w:val="20"/>
                <w:szCs w:val="20"/>
              </w:rPr>
              <w:t xml:space="preserve"> </w:t>
            </w:r>
          </w:p>
          <w:p w14:paraId="56739CEE" w14:textId="2D653E4C" w:rsidR="00442355" w:rsidRPr="00C43406" w:rsidRDefault="00442355" w:rsidP="00442355">
            <w:pPr>
              <w:tabs>
                <w:tab w:val="center" w:pos="1069"/>
              </w:tabs>
              <w:jc w:val="center"/>
              <w:rPr>
                <w:rFonts w:ascii="Cambria" w:hAnsi="Cambria"/>
                <w:sz w:val="20"/>
                <w:szCs w:val="20"/>
              </w:rPr>
            </w:pPr>
            <w:r w:rsidRPr="00C43406">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980"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360ABAE5" w14:textId="3177A167" w:rsidR="00442355" w:rsidRPr="00C43406" w:rsidRDefault="00442355" w:rsidP="00442355">
            <w:pPr>
              <w:rPr>
                <w:rFonts w:ascii="Cambria" w:hAnsi="Cambria"/>
                <w:b/>
                <w:bCs/>
                <w:sz w:val="20"/>
                <w:szCs w:val="20"/>
              </w:rPr>
            </w:pPr>
            <w:r w:rsidRPr="00C43406">
              <w:rPr>
                <w:rFonts w:ascii="Cambria" w:hAnsi="Cambria"/>
                <w:b/>
                <w:bCs/>
                <w:sz w:val="20"/>
                <w:szCs w:val="20"/>
              </w:rPr>
              <w:t>This week trainees should have demonstrated that they know:</w:t>
            </w:r>
          </w:p>
        </w:tc>
        <w:tc>
          <w:tcPr>
            <w:tcW w:w="732" w:type="dxa"/>
            <w:tcBorders>
              <w:top w:val="single" w:sz="4" w:space="0" w:color="auto"/>
              <w:left w:val="single" w:sz="4" w:space="0" w:color="auto"/>
              <w:bottom w:val="single" w:sz="4" w:space="0" w:color="auto"/>
              <w:right w:val="single" w:sz="4" w:space="0" w:color="auto"/>
            </w:tcBorders>
            <w:shd w:val="clear" w:color="auto" w:fill="E7E6E6" w:themeFill="background2"/>
          </w:tcPr>
          <w:p w14:paraId="6BF6678C" w14:textId="77777777" w:rsidR="00442355" w:rsidRPr="00C43406" w:rsidRDefault="00442355" w:rsidP="00442355">
            <w:pPr>
              <w:jc w:val="center"/>
              <w:rPr>
                <w:rFonts w:ascii="Cambria" w:hAnsi="Cambria"/>
                <w:b/>
                <w:bCs/>
                <w:sz w:val="20"/>
                <w:szCs w:val="20"/>
              </w:rPr>
            </w:pPr>
            <w:r w:rsidRPr="00C43406">
              <w:rPr>
                <w:rFonts w:ascii="Cambria" w:hAnsi="Cambria"/>
                <w:b/>
                <w:bCs/>
                <w:sz w:val="20"/>
                <w:szCs w:val="20"/>
              </w:rPr>
              <w:t>Y/N</w:t>
            </w:r>
          </w:p>
          <w:p w14:paraId="0E7E73C3" w14:textId="3E44AEE5" w:rsidR="00442355" w:rsidRPr="00C43406" w:rsidRDefault="00442355" w:rsidP="00442355">
            <w:pPr>
              <w:jc w:val="center"/>
              <w:rPr>
                <w:rFonts w:ascii="Cambria" w:hAnsi="Cambria"/>
                <w:b/>
                <w:bCs/>
                <w:sz w:val="20"/>
                <w:szCs w:val="20"/>
              </w:rPr>
            </w:pPr>
          </w:p>
        </w:tc>
      </w:tr>
      <w:tr w:rsidR="00442355" w:rsidRPr="00C43406" w14:paraId="75C24513" w14:textId="77777777" w:rsidTr="00442355">
        <w:trPr>
          <w:trHeight w:val="968"/>
        </w:trPr>
        <w:tc>
          <w:tcPr>
            <w:tcW w:w="1504" w:type="dxa"/>
            <w:vMerge/>
            <w:tcBorders>
              <w:left w:val="single" w:sz="4" w:space="0" w:color="auto"/>
              <w:right w:val="single" w:sz="4" w:space="0" w:color="auto"/>
            </w:tcBorders>
          </w:tcPr>
          <w:p w14:paraId="38A28802"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tcPr>
          <w:p w14:paraId="010ED2D7" w14:textId="77777777" w:rsidR="001B6008" w:rsidRPr="001B6008" w:rsidRDefault="001B6008" w:rsidP="001B6008">
            <w:pPr>
              <w:spacing w:after="0" w:line="240" w:lineRule="auto"/>
              <w:rPr>
                <w:rFonts w:ascii="Cambria" w:hAnsi="Cambria"/>
                <w:b/>
                <w:bCs/>
                <w:sz w:val="20"/>
                <w:szCs w:val="20"/>
                <w:shd w:val="clear" w:color="auto" w:fill="FFFFFF"/>
              </w:rPr>
            </w:pPr>
            <w:r w:rsidRPr="001B6008">
              <w:rPr>
                <w:rFonts w:ascii="Cambria" w:hAnsi="Cambria"/>
                <w:b/>
                <w:bCs/>
                <w:sz w:val="20"/>
                <w:szCs w:val="20"/>
                <w:shd w:val="clear" w:color="auto" w:fill="FFFFFF"/>
              </w:rPr>
              <w:t>1.How to utilise externally validated material (such as past papers at GCSE, BTEC or A level) to structure assessment tasks.</w:t>
            </w:r>
          </w:p>
          <w:p w14:paraId="30BB216D" w14:textId="77777777" w:rsidR="001B6008" w:rsidRPr="001B6008" w:rsidRDefault="001B6008" w:rsidP="001B6008">
            <w:pPr>
              <w:spacing w:after="0" w:line="240" w:lineRule="auto"/>
              <w:rPr>
                <w:rFonts w:ascii="Cambria" w:hAnsi="Cambria"/>
                <w:b/>
                <w:bCs/>
                <w:sz w:val="20"/>
                <w:szCs w:val="20"/>
                <w:shd w:val="clear" w:color="auto" w:fill="FFFFFF"/>
              </w:rPr>
            </w:pPr>
            <w:r w:rsidRPr="001B6008">
              <w:rPr>
                <w:rFonts w:ascii="Cambria" w:hAnsi="Cambria"/>
                <w:b/>
                <w:bCs/>
                <w:sz w:val="20"/>
                <w:szCs w:val="20"/>
                <w:shd w:val="clear" w:color="auto" w:fill="FFFFFF"/>
              </w:rPr>
              <w:t>2.Scaffold and structure self and peer assessment, making use of model answers which highlight key details.</w:t>
            </w:r>
          </w:p>
          <w:p w14:paraId="4E488AE5" w14:textId="15FE2998" w:rsidR="00442355" w:rsidRPr="00C43406" w:rsidRDefault="001B6008" w:rsidP="001B6008">
            <w:pPr>
              <w:rPr>
                <w:rFonts w:ascii="Cambria" w:hAnsi="Cambria"/>
                <w:b/>
                <w:bCs/>
                <w:sz w:val="20"/>
                <w:szCs w:val="20"/>
                <w:shd w:val="clear" w:color="auto" w:fill="FFFFFF"/>
              </w:rPr>
            </w:pPr>
            <w:r w:rsidRPr="001B6008">
              <w:rPr>
                <w:rFonts w:ascii="Cambria" w:hAnsi="Cambria"/>
                <w:b/>
                <w:bCs/>
                <w:sz w:val="20"/>
                <w:szCs w:val="20"/>
                <w:shd w:val="clear" w:color="auto" w:fill="FFFFFF"/>
              </w:rPr>
              <w:t>3. Strategies such as managing workload, resilience (Allan, 2020) and planning will help them to protect time for rest and recovery and promote good mental well-being</w:t>
            </w:r>
          </w:p>
        </w:tc>
        <w:tc>
          <w:tcPr>
            <w:tcW w:w="732" w:type="dxa"/>
            <w:tcBorders>
              <w:top w:val="single" w:sz="4" w:space="0" w:color="auto"/>
              <w:left w:val="single" w:sz="4" w:space="0" w:color="auto"/>
              <w:bottom w:val="single" w:sz="4" w:space="0" w:color="auto"/>
              <w:right w:val="single" w:sz="4" w:space="0" w:color="auto"/>
            </w:tcBorders>
          </w:tcPr>
          <w:p w14:paraId="500548AF" w14:textId="2702677E" w:rsidR="00442355" w:rsidRPr="00C43406" w:rsidRDefault="00442355" w:rsidP="00442355">
            <w:pPr>
              <w:jc w:val="center"/>
              <w:rPr>
                <w:rFonts w:ascii="Cambria" w:hAnsi="Cambria"/>
                <w:sz w:val="20"/>
                <w:szCs w:val="20"/>
              </w:rPr>
            </w:pPr>
          </w:p>
        </w:tc>
      </w:tr>
      <w:tr w:rsidR="00442355" w:rsidRPr="00C43406" w14:paraId="365EFF71" w14:textId="77777777" w:rsidTr="00442355">
        <w:trPr>
          <w:trHeight w:val="152"/>
        </w:trPr>
        <w:tc>
          <w:tcPr>
            <w:tcW w:w="1504" w:type="dxa"/>
            <w:vMerge/>
            <w:tcBorders>
              <w:left w:val="single" w:sz="4" w:space="0" w:color="auto"/>
              <w:right w:val="single" w:sz="4" w:space="0" w:color="auto"/>
            </w:tcBorders>
          </w:tcPr>
          <w:p w14:paraId="39E4C718"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4AA9EA46" w14:textId="06BEEB12" w:rsidR="00442355" w:rsidRPr="00C43406" w:rsidRDefault="00442355" w:rsidP="00442355">
            <w:pPr>
              <w:rPr>
                <w:rFonts w:ascii="Cambria" w:hAnsi="Cambria"/>
                <w:b/>
                <w:bCs/>
                <w:sz w:val="20"/>
                <w:szCs w:val="20"/>
              </w:rPr>
            </w:pPr>
            <w:r w:rsidRPr="00C43406">
              <w:rPr>
                <w:rFonts w:ascii="Cambria" w:hAnsi="Cambria"/>
                <w:b/>
                <w:bCs/>
                <w:sz w:val="20"/>
                <w:szCs w:val="20"/>
              </w:rPr>
              <w:t>This week trainees should have demonstrated that they know how to:</w:t>
            </w:r>
          </w:p>
        </w:tc>
        <w:tc>
          <w:tcPr>
            <w:tcW w:w="732" w:type="dxa"/>
            <w:tcBorders>
              <w:top w:val="single" w:sz="4" w:space="0" w:color="auto"/>
              <w:left w:val="single" w:sz="4" w:space="0" w:color="auto"/>
              <w:bottom w:val="single" w:sz="4" w:space="0" w:color="auto"/>
              <w:right w:val="single" w:sz="4" w:space="0" w:color="auto"/>
            </w:tcBorders>
            <w:shd w:val="clear" w:color="auto" w:fill="E7E6E6" w:themeFill="background2"/>
          </w:tcPr>
          <w:p w14:paraId="5E1B72E3" w14:textId="77777777" w:rsidR="00442355" w:rsidRPr="00C43406" w:rsidRDefault="00442355" w:rsidP="00442355">
            <w:pPr>
              <w:jc w:val="center"/>
              <w:rPr>
                <w:rFonts w:ascii="Cambria" w:hAnsi="Cambria"/>
                <w:b/>
                <w:bCs/>
                <w:sz w:val="20"/>
                <w:szCs w:val="20"/>
              </w:rPr>
            </w:pPr>
            <w:r w:rsidRPr="00C43406">
              <w:rPr>
                <w:rFonts w:ascii="Cambria" w:hAnsi="Cambria"/>
                <w:b/>
                <w:bCs/>
                <w:sz w:val="20"/>
                <w:szCs w:val="20"/>
              </w:rPr>
              <w:t>Y/N</w:t>
            </w:r>
          </w:p>
          <w:p w14:paraId="18B6C2E1" w14:textId="115AA463" w:rsidR="00442355" w:rsidRPr="00C43406" w:rsidRDefault="00442355" w:rsidP="00442355">
            <w:pPr>
              <w:jc w:val="center"/>
              <w:rPr>
                <w:rFonts w:ascii="Cambria" w:hAnsi="Cambria"/>
                <w:b/>
                <w:bCs/>
                <w:sz w:val="20"/>
                <w:szCs w:val="20"/>
              </w:rPr>
            </w:pPr>
          </w:p>
        </w:tc>
      </w:tr>
      <w:tr w:rsidR="00442355" w:rsidRPr="00C43406" w14:paraId="0B2BB01B" w14:textId="77777777" w:rsidTr="00442355">
        <w:trPr>
          <w:trHeight w:val="152"/>
        </w:trPr>
        <w:tc>
          <w:tcPr>
            <w:tcW w:w="1504" w:type="dxa"/>
            <w:vMerge/>
            <w:tcBorders>
              <w:left w:val="single" w:sz="4" w:space="0" w:color="auto"/>
              <w:bottom w:val="single" w:sz="4" w:space="0" w:color="auto"/>
              <w:right w:val="single" w:sz="4" w:space="0" w:color="auto"/>
            </w:tcBorders>
          </w:tcPr>
          <w:p w14:paraId="6816228A" w14:textId="77777777" w:rsidR="00442355" w:rsidRPr="00C43406" w:rsidRDefault="00442355" w:rsidP="00442355">
            <w:pPr>
              <w:spacing w:line="237" w:lineRule="auto"/>
              <w:jc w:val="center"/>
              <w:rPr>
                <w:rFonts w:ascii="Cambria" w:hAnsi="Cambria"/>
                <w:b/>
                <w:bCs/>
                <w:sz w:val="20"/>
                <w:szCs w:val="20"/>
              </w:rPr>
            </w:pPr>
          </w:p>
        </w:tc>
        <w:tc>
          <w:tcPr>
            <w:tcW w:w="8980" w:type="dxa"/>
            <w:gridSpan w:val="9"/>
            <w:tcBorders>
              <w:top w:val="single" w:sz="4" w:space="0" w:color="auto"/>
              <w:left w:val="single" w:sz="4" w:space="0" w:color="auto"/>
              <w:bottom w:val="single" w:sz="4" w:space="0" w:color="auto"/>
              <w:right w:val="single" w:sz="4" w:space="0" w:color="auto"/>
            </w:tcBorders>
          </w:tcPr>
          <w:p w14:paraId="4721BD0B" w14:textId="77777777" w:rsidR="001B6008" w:rsidRPr="001B6008" w:rsidRDefault="001B6008" w:rsidP="001B6008">
            <w:pPr>
              <w:spacing w:after="0" w:line="240" w:lineRule="auto"/>
              <w:rPr>
                <w:rFonts w:ascii="Cambria" w:hAnsi="Cambria"/>
                <w:b/>
                <w:bCs/>
                <w:sz w:val="20"/>
                <w:szCs w:val="20"/>
              </w:rPr>
            </w:pPr>
            <w:r w:rsidRPr="001B6008">
              <w:rPr>
                <w:rFonts w:ascii="Cambria" w:hAnsi="Cambria"/>
                <w:b/>
                <w:bCs/>
                <w:sz w:val="20"/>
                <w:szCs w:val="20"/>
              </w:rPr>
              <w:t xml:space="preserve">1. Construct a curriculum design and know how it impacts on subject delivery incorporating active and innovative teaching and learning methods. </w:t>
            </w:r>
          </w:p>
          <w:p w14:paraId="745E351F" w14:textId="77777777" w:rsidR="001B6008" w:rsidRPr="001B6008" w:rsidRDefault="001B6008" w:rsidP="001B6008">
            <w:pPr>
              <w:spacing w:after="0" w:line="240" w:lineRule="auto"/>
              <w:rPr>
                <w:rFonts w:ascii="Cambria" w:hAnsi="Cambria"/>
                <w:b/>
                <w:bCs/>
                <w:sz w:val="20"/>
                <w:szCs w:val="20"/>
              </w:rPr>
            </w:pPr>
            <w:r w:rsidRPr="001B6008">
              <w:rPr>
                <w:rFonts w:ascii="Cambria" w:hAnsi="Cambria"/>
                <w:b/>
                <w:bCs/>
                <w:sz w:val="20"/>
                <w:szCs w:val="20"/>
              </w:rPr>
              <w:t xml:space="preserve">2. To use strategies based on practical and creative approaches to teaching, learning and assessment. </w:t>
            </w:r>
          </w:p>
          <w:p w14:paraId="3437E904" w14:textId="5D28D634" w:rsidR="00D01EC5" w:rsidRPr="00C43406" w:rsidRDefault="001B6008" w:rsidP="001B6008">
            <w:pPr>
              <w:rPr>
                <w:rFonts w:ascii="Cambria" w:hAnsi="Cambria"/>
                <w:b/>
                <w:bCs/>
                <w:sz w:val="20"/>
                <w:szCs w:val="20"/>
              </w:rPr>
            </w:pPr>
            <w:r w:rsidRPr="001B6008">
              <w:rPr>
                <w:rFonts w:ascii="Cambria" w:hAnsi="Cambria"/>
                <w:b/>
                <w:bCs/>
                <w:sz w:val="20"/>
                <w:szCs w:val="20"/>
              </w:rPr>
              <w:t>3. To articulate high-quality feedback whether that be written or verbal, to encourage further effort, and provide specific guidance on how to improve</w:t>
            </w:r>
          </w:p>
        </w:tc>
        <w:tc>
          <w:tcPr>
            <w:tcW w:w="732" w:type="dxa"/>
            <w:tcBorders>
              <w:top w:val="single" w:sz="4" w:space="0" w:color="auto"/>
              <w:left w:val="single" w:sz="4" w:space="0" w:color="auto"/>
              <w:bottom w:val="single" w:sz="4" w:space="0" w:color="auto"/>
              <w:right w:val="single" w:sz="4" w:space="0" w:color="auto"/>
            </w:tcBorders>
          </w:tcPr>
          <w:p w14:paraId="5FF312F8" w14:textId="77777777" w:rsidR="00442355" w:rsidRPr="00C43406" w:rsidRDefault="00442355" w:rsidP="00442355">
            <w:pPr>
              <w:rPr>
                <w:rFonts w:ascii="Cambria" w:hAnsi="Cambria"/>
                <w:b/>
                <w:bCs/>
                <w:sz w:val="20"/>
                <w:szCs w:val="20"/>
              </w:rPr>
            </w:pPr>
          </w:p>
        </w:tc>
      </w:tr>
      <w:tr w:rsidR="00442355" w:rsidRPr="00C43406" w14:paraId="3CEA7B26" w14:textId="77777777" w:rsidTr="00442355">
        <w:trPr>
          <w:trHeight w:val="2380"/>
        </w:trPr>
        <w:tc>
          <w:tcPr>
            <w:tcW w:w="1504" w:type="dxa"/>
            <w:tcBorders>
              <w:top w:val="single" w:sz="4" w:space="0" w:color="auto"/>
              <w:left w:val="single" w:sz="4" w:space="0" w:color="auto"/>
              <w:bottom w:val="single" w:sz="4" w:space="0" w:color="auto"/>
              <w:right w:val="single" w:sz="4" w:space="0" w:color="auto"/>
            </w:tcBorders>
          </w:tcPr>
          <w:p w14:paraId="2B69B659" w14:textId="42685D17"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 xml:space="preserve">Questions for mentor and trainee to discuss in mentor meeting       </w:t>
            </w:r>
            <w:r w:rsidRPr="00C43406">
              <w:rPr>
                <w:rFonts w:ascii="Cambria" w:hAnsi="Cambria"/>
                <w:noProof/>
                <w:sz w:val="20"/>
                <w:szCs w:val="20"/>
              </w:rPr>
              <w:drawing>
                <wp:inline distT="0" distB="0" distL="0" distR="0" wp14:anchorId="33196FB2" wp14:editId="71DED72D">
                  <wp:extent cx="419100" cy="63331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6"/>
                          <a:stretch>
                            <a:fillRect/>
                          </a:stretch>
                        </pic:blipFill>
                        <pic:spPr>
                          <a:xfrm>
                            <a:off x="0" y="0"/>
                            <a:ext cx="419100" cy="633311"/>
                          </a:xfrm>
                          <a:prstGeom prst="rect">
                            <a:avLst/>
                          </a:prstGeom>
                        </pic:spPr>
                      </pic:pic>
                    </a:graphicData>
                  </a:graphic>
                </wp:inline>
              </w:drawing>
            </w:r>
          </w:p>
        </w:tc>
        <w:tc>
          <w:tcPr>
            <w:tcW w:w="9712" w:type="dxa"/>
            <w:gridSpan w:val="10"/>
            <w:tcBorders>
              <w:top w:val="single" w:sz="4" w:space="0" w:color="auto"/>
              <w:left w:val="single" w:sz="4" w:space="0" w:color="auto"/>
              <w:bottom w:val="single" w:sz="4" w:space="0" w:color="auto"/>
              <w:right w:val="single" w:sz="4" w:space="0" w:color="auto"/>
            </w:tcBorders>
          </w:tcPr>
          <w:p w14:paraId="793658C6" w14:textId="77777777" w:rsidR="001B6008" w:rsidRDefault="001B6008" w:rsidP="00442355">
            <w:pPr>
              <w:pBdr>
                <w:top w:val="nil"/>
                <w:left w:val="nil"/>
                <w:bottom w:val="nil"/>
                <w:right w:val="nil"/>
                <w:between w:val="nil"/>
              </w:pBdr>
              <w:jc w:val="both"/>
              <w:rPr>
                <w:rFonts w:ascii="Cambria" w:hAnsi="Cambria"/>
                <w:b/>
                <w:bCs/>
                <w:color w:val="FF0000"/>
                <w:sz w:val="20"/>
                <w:szCs w:val="20"/>
              </w:rPr>
            </w:pPr>
          </w:p>
          <w:p w14:paraId="3E147F30" w14:textId="5BA1009D" w:rsidR="001B6008" w:rsidRPr="001B6008" w:rsidRDefault="001B6008" w:rsidP="001B6008">
            <w:pPr>
              <w:rPr>
                <w:rFonts w:asciiTheme="minorHAnsi" w:hAnsiTheme="minorHAnsi" w:cstheme="minorHAnsi"/>
                <w:b/>
                <w:bCs/>
              </w:rPr>
            </w:pPr>
            <w:r>
              <w:rPr>
                <w:rFonts w:asciiTheme="minorHAnsi" w:hAnsiTheme="minorHAnsi" w:cstheme="minorHAnsi"/>
                <w:b/>
                <w:bCs/>
              </w:rPr>
              <w:t>1.</w:t>
            </w:r>
            <w:r w:rsidRPr="00856769">
              <w:rPr>
                <w:rFonts w:asciiTheme="minorHAnsi" w:hAnsiTheme="minorHAnsi" w:cstheme="minorHAnsi"/>
                <w:b/>
                <w:bCs/>
              </w:rPr>
              <w:t xml:space="preserve">How do assessment practices in your college or training provider motivate learners to take ownership of their learning? </w:t>
            </w:r>
          </w:p>
          <w:p w14:paraId="2FCBDA67" w14:textId="34F88BB5"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6C71EFDB" w14:textId="77777777" w:rsidR="00442355" w:rsidRDefault="00442355" w:rsidP="00442355">
            <w:pPr>
              <w:pBdr>
                <w:top w:val="nil"/>
                <w:left w:val="nil"/>
                <w:bottom w:val="nil"/>
                <w:right w:val="nil"/>
                <w:between w:val="nil"/>
              </w:pBdr>
              <w:jc w:val="both"/>
              <w:rPr>
                <w:rFonts w:ascii="Cambria" w:hAnsi="Cambria"/>
                <w:b/>
                <w:bCs/>
                <w:color w:val="FF0000"/>
                <w:sz w:val="20"/>
                <w:szCs w:val="20"/>
              </w:rPr>
            </w:pPr>
          </w:p>
          <w:p w14:paraId="2ED1633C" w14:textId="42DEEF1A" w:rsidR="001B6008" w:rsidRPr="001B6008" w:rsidRDefault="001B6008" w:rsidP="00442355">
            <w:pPr>
              <w:pBdr>
                <w:top w:val="nil"/>
                <w:left w:val="nil"/>
                <w:bottom w:val="nil"/>
                <w:right w:val="nil"/>
                <w:between w:val="nil"/>
              </w:pBdr>
              <w:jc w:val="both"/>
              <w:rPr>
                <w:rFonts w:asciiTheme="minorHAnsi" w:hAnsiTheme="minorHAnsi" w:cstheme="minorHAnsi"/>
                <w:b/>
                <w:bCs/>
                <w:color w:val="auto"/>
              </w:rPr>
            </w:pPr>
            <w:r w:rsidRPr="00856769">
              <w:rPr>
                <w:rFonts w:asciiTheme="minorHAnsi" w:hAnsiTheme="minorHAnsi" w:cstheme="minorHAnsi"/>
                <w:b/>
                <w:bCs/>
                <w:color w:val="auto"/>
              </w:rPr>
              <w:t>2</w:t>
            </w:r>
            <w:r>
              <w:rPr>
                <w:rFonts w:asciiTheme="minorHAnsi" w:hAnsiTheme="minorHAnsi" w:cstheme="minorHAnsi"/>
                <w:b/>
                <w:bCs/>
                <w:color w:val="auto"/>
              </w:rPr>
              <w:t xml:space="preserve">. </w:t>
            </w:r>
            <w:r w:rsidRPr="00856769">
              <w:rPr>
                <w:rFonts w:asciiTheme="minorHAnsi" w:hAnsiTheme="minorHAnsi" w:cstheme="minorHAnsi"/>
                <w:b/>
                <w:bCs/>
                <w:color w:val="auto"/>
              </w:rPr>
              <w:t>How are you managing your workload. What strategies or support have you found to be of use?</w:t>
            </w:r>
          </w:p>
          <w:p w14:paraId="22BB80EE" w14:textId="5F9954E2"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6E3D6709" w14:textId="77777777" w:rsidR="00D01EC5" w:rsidRDefault="00D01EC5" w:rsidP="00442355">
            <w:pPr>
              <w:pBdr>
                <w:top w:val="nil"/>
                <w:left w:val="nil"/>
                <w:bottom w:val="nil"/>
                <w:right w:val="nil"/>
                <w:between w:val="nil"/>
              </w:pBdr>
              <w:jc w:val="both"/>
              <w:rPr>
                <w:rFonts w:ascii="Cambria" w:hAnsi="Cambria"/>
                <w:b/>
                <w:bCs/>
                <w:color w:val="FF0000"/>
                <w:sz w:val="20"/>
                <w:szCs w:val="20"/>
              </w:rPr>
            </w:pPr>
          </w:p>
          <w:p w14:paraId="571D5402" w14:textId="5F316ACD" w:rsidR="001B6008" w:rsidRPr="001B6008" w:rsidRDefault="001B6008" w:rsidP="00442355">
            <w:pPr>
              <w:pBdr>
                <w:top w:val="nil"/>
                <w:left w:val="nil"/>
                <w:bottom w:val="nil"/>
                <w:right w:val="nil"/>
                <w:between w:val="nil"/>
              </w:pBdr>
              <w:jc w:val="both"/>
              <w:rPr>
                <w:rFonts w:asciiTheme="minorHAnsi" w:hAnsiTheme="minorHAnsi" w:cstheme="minorHAnsi"/>
                <w:b/>
                <w:bCs/>
                <w:color w:val="auto"/>
              </w:rPr>
            </w:pPr>
            <w:r w:rsidRPr="00856769">
              <w:rPr>
                <w:rFonts w:asciiTheme="minorHAnsi" w:hAnsiTheme="minorHAnsi" w:cstheme="minorHAnsi"/>
                <w:b/>
                <w:bCs/>
                <w:color w:val="auto"/>
              </w:rPr>
              <w:t>3. Have you been able to identify any effective practice which would make assessment less onerous? If so, what?</w:t>
            </w:r>
          </w:p>
          <w:p w14:paraId="2F73181B" w14:textId="3E2E7A4D" w:rsidR="00442355" w:rsidRDefault="00442355" w:rsidP="00442355">
            <w:pPr>
              <w:pBdr>
                <w:top w:val="nil"/>
                <w:left w:val="nil"/>
                <w:bottom w:val="nil"/>
                <w:right w:val="nil"/>
                <w:between w:val="nil"/>
              </w:pBdr>
              <w:jc w:val="both"/>
              <w:rPr>
                <w:rFonts w:ascii="Cambria" w:hAnsi="Cambria"/>
                <w:b/>
                <w:bCs/>
                <w:color w:val="FF0000"/>
                <w:sz w:val="20"/>
                <w:szCs w:val="20"/>
              </w:rPr>
            </w:pPr>
            <w:r w:rsidRPr="00C43406">
              <w:rPr>
                <w:rFonts w:ascii="Cambria" w:hAnsi="Cambria"/>
                <w:b/>
                <w:bCs/>
                <w:color w:val="FF0000"/>
                <w:sz w:val="20"/>
                <w:szCs w:val="20"/>
              </w:rPr>
              <w:t>Mentor summary of trainee response</w:t>
            </w:r>
          </w:p>
          <w:p w14:paraId="497B49C6" w14:textId="77777777" w:rsidR="00442355" w:rsidRDefault="00442355" w:rsidP="00442355">
            <w:pPr>
              <w:pBdr>
                <w:top w:val="nil"/>
                <w:left w:val="nil"/>
                <w:bottom w:val="nil"/>
                <w:right w:val="nil"/>
                <w:between w:val="nil"/>
              </w:pBdr>
              <w:jc w:val="both"/>
              <w:rPr>
                <w:rFonts w:ascii="Cambria" w:hAnsi="Cambria"/>
                <w:b/>
                <w:bCs/>
                <w:sz w:val="20"/>
                <w:szCs w:val="20"/>
              </w:rPr>
            </w:pPr>
          </w:p>
          <w:p w14:paraId="7A1CB5EE" w14:textId="77777777" w:rsidR="00442355" w:rsidRPr="00A17BCC" w:rsidRDefault="00442355" w:rsidP="00442355">
            <w:pPr>
              <w:pBdr>
                <w:top w:val="nil"/>
                <w:left w:val="nil"/>
                <w:bottom w:val="nil"/>
                <w:right w:val="nil"/>
                <w:between w:val="nil"/>
              </w:pBdr>
              <w:jc w:val="both"/>
              <w:rPr>
                <w:rFonts w:ascii="Cambria" w:hAnsi="Cambria"/>
                <w:b/>
                <w:bCs/>
                <w:sz w:val="20"/>
                <w:szCs w:val="20"/>
              </w:rPr>
            </w:pPr>
          </w:p>
          <w:p w14:paraId="11852BB5" w14:textId="27192A8F" w:rsidR="00442355" w:rsidRPr="00C43406" w:rsidRDefault="00442355" w:rsidP="00442355">
            <w:pPr>
              <w:pBdr>
                <w:top w:val="nil"/>
                <w:left w:val="nil"/>
                <w:bottom w:val="nil"/>
                <w:right w:val="nil"/>
                <w:between w:val="nil"/>
              </w:pBdr>
              <w:jc w:val="both"/>
              <w:rPr>
                <w:rFonts w:ascii="Cambria" w:hAnsi="Cambria"/>
                <w:sz w:val="20"/>
                <w:szCs w:val="20"/>
              </w:rPr>
            </w:pPr>
          </w:p>
        </w:tc>
      </w:tr>
      <w:tr w:rsidR="00442355" w:rsidRPr="00C43406" w14:paraId="69758A50" w14:textId="77777777" w:rsidTr="00442355">
        <w:trPr>
          <w:trHeight w:val="1676"/>
        </w:trPr>
        <w:tc>
          <w:tcPr>
            <w:tcW w:w="1504" w:type="dxa"/>
            <w:tcBorders>
              <w:top w:val="single" w:sz="4" w:space="0" w:color="auto"/>
              <w:left w:val="single" w:sz="4" w:space="0" w:color="auto"/>
              <w:bottom w:val="single" w:sz="4" w:space="0" w:color="auto"/>
              <w:right w:val="single" w:sz="4" w:space="0" w:color="auto"/>
            </w:tcBorders>
          </w:tcPr>
          <w:p w14:paraId="6D3D2A77" w14:textId="77777777"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Additional notes from mentor meeting</w:t>
            </w:r>
          </w:p>
          <w:p w14:paraId="788494D3" w14:textId="658111FE" w:rsidR="00442355" w:rsidRPr="00C43406" w:rsidRDefault="00442355" w:rsidP="00442355">
            <w:pPr>
              <w:spacing w:line="237" w:lineRule="auto"/>
              <w:jc w:val="center"/>
              <w:rPr>
                <w:rFonts w:ascii="Cambria" w:eastAsia="Georgia" w:hAnsi="Cambria" w:cs="Georgia"/>
                <w:b/>
                <w:sz w:val="20"/>
                <w:szCs w:val="20"/>
              </w:rPr>
            </w:pPr>
            <w:r w:rsidRPr="00C43406">
              <w:rPr>
                <w:rFonts w:ascii="Cambria" w:hAnsi="Cambria"/>
                <w:noProof/>
                <w:sz w:val="20"/>
                <w:szCs w:val="20"/>
              </w:rPr>
              <w:drawing>
                <wp:inline distT="0" distB="0" distL="0" distR="0" wp14:anchorId="239C29B2" wp14:editId="154B0B93">
                  <wp:extent cx="414013" cy="42862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580" cy="436460"/>
                          </a:xfrm>
                          <a:prstGeom prst="rect">
                            <a:avLst/>
                          </a:prstGeom>
                        </pic:spPr>
                      </pic:pic>
                    </a:graphicData>
                  </a:graphic>
                </wp:inline>
              </w:drawing>
            </w:r>
          </w:p>
          <w:p w14:paraId="5B450E15" w14:textId="55099F9D"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2A346587" w14:textId="1629F561"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cs="Calibri"/>
                <w:color w:val="201F1E"/>
                <w:sz w:val="20"/>
                <w:szCs w:val="20"/>
              </w:rPr>
              <w:t>For example, review of subject knowledge, relevant CPD, arrangements for upcoming lesson observation, college/department events etc.</w:t>
            </w:r>
          </w:p>
          <w:p w14:paraId="399FF43D" w14:textId="77777777"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7417A361" w14:textId="49E3B7D3"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0ED7F194" w14:textId="45A6050C"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442355" w:rsidRPr="00C43406" w:rsidRDefault="00442355" w:rsidP="00442355">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442355" w:rsidRPr="00C43406" w14:paraId="4D4EF814" w14:textId="77777777" w:rsidTr="00442355">
        <w:trPr>
          <w:trHeight w:val="357"/>
        </w:trPr>
        <w:tc>
          <w:tcPr>
            <w:tcW w:w="1504" w:type="dxa"/>
            <w:vMerge w:val="restart"/>
            <w:tcBorders>
              <w:top w:val="single" w:sz="4" w:space="0" w:color="auto"/>
              <w:left w:val="single" w:sz="4" w:space="0" w:color="auto"/>
              <w:right w:val="single" w:sz="4" w:space="0" w:color="auto"/>
            </w:tcBorders>
          </w:tcPr>
          <w:p w14:paraId="1E3F347B" w14:textId="633E03BE"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t>Trainee workload and well-being</w:t>
            </w:r>
            <w:r w:rsidRPr="00C43406">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5548" w:type="dxa"/>
            <w:gridSpan w:val="6"/>
            <w:tcBorders>
              <w:top w:val="single" w:sz="4" w:space="0" w:color="auto"/>
              <w:left w:val="single" w:sz="4" w:space="0" w:color="auto"/>
              <w:bottom w:val="single" w:sz="4" w:space="0" w:color="auto"/>
              <w:right w:val="single" w:sz="4" w:space="0" w:color="auto"/>
            </w:tcBorders>
          </w:tcPr>
          <w:p w14:paraId="1BF3A799" w14:textId="2ED4288C" w:rsidR="00442355" w:rsidRPr="00C43406" w:rsidRDefault="00442355" w:rsidP="00442355">
            <w:pPr>
              <w:pStyle w:val="xmsolistparagraph"/>
              <w:shd w:val="clear" w:color="auto" w:fill="FFFFFF"/>
              <w:spacing w:before="0" w:beforeAutospacing="0" w:after="0" w:afterAutospacing="0"/>
              <w:ind w:right="-3189"/>
              <w:rPr>
                <w:rFonts w:ascii="Cambria" w:hAnsi="Cambria" w:cs="Calibri"/>
                <w:color w:val="201F1E"/>
                <w:sz w:val="20"/>
                <w:szCs w:val="20"/>
              </w:rPr>
            </w:pPr>
            <w:r w:rsidRPr="00C43406">
              <w:rPr>
                <w:rFonts w:ascii="Cambria" w:hAnsi="Cambria"/>
                <w:b/>
                <w:bCs/>
                <w:sz w:val="20"/>
                <w:szCs w:val="20"/>
              </w:rPr>
              <w:t xml:space="preserve">Have strategies for workload been discussed? </w:t>
            </w:r>
          </w:p>
        </w:tc>
        <w:tc>
          <w:tcPr>
            <w:tcW w:w="4164" w:type="dxa"/>
            <w:gridSpan w:val="4"/>
            <w:tcBorders>
              <w:top w:val="single" w:sz="4" w:space="0" w:color="auto"/>
              <w:left w:val="single" w:sz="4" w:space="0" w:color="auto"/>
              <w:bottom w:val="single" w:sz="4" w:space="0" w:color="auto"/>
              <w:right w:val="single" w:sz="4" w:space="0" w:color="auto"/>
            </w:tcBorders>
          </w:tcPr>
          <w:p w14:paraId="79CD1FEE" w14:textId="1C24428D"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442355" w:rsidRPr="00C43406" w14:paraId="3DB20099" w14:textId="77777777" w:rsidTr="00442355">
        <w:trPr>
          <w:trHeight w:val="356"/>
        </w:trPr>
        <w:tc>
          <w:tcPr>
            <w:tcW w:w="1504" w:type="dxa"/>
            <w:vMerge/>
            <w:tcBorders>
              <w:left w:val="single" w:sz="4" w:space="0" w:color="auto"/>
              <w:right w:val="single" w:sz="4" w:space="0" w:color="auto"/>
            </w:tcBorders>
          </w:tcPr>
          <w:p w14:paraId="6123FA02" w14:textId="77777777"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16476932" w14:textId="77777777" w:rsidR="00442355" w:rsidRPr="00C43406" w:rsidRDefault="00442355" w:rsidP="00442355">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3C3AFABD" w14:textId="4C9B6759"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tc>
      </w:tr>
      <w:tr w:rsidR="00442355" w:rsidRPr="00C43406" w14:paraId="3953F9DA" w14:textId="77777777" w:rsidTr="00442355">
        <w:trPr>
          <w:trHeight w:val="356"/>
        </w:trPr>
        <w:tc>
          <w:tcPr>
            <w:tcW w:w="1504" w:type="dxa"/>
            <w:vMerge/>
            <w:tcBorders>
              <w:left w:val="single" w:sz="4" w:space="0" w:color="auto"/>
              <w:right w:val="single" w:sz="4" w:space="0" w:color="auto"/>
            </w:tcBorders>
          </w:tcPr>
          <w:p w14:paraId="70CDC28C" w14:textId="77777777" w:rsidR="00442355" w:rsidRPr="00C43406" w:rsidRDefault="00442355" w:rsidP="00442355">
            <w:pPr>
              <w:spacing w:line="237" w:lineRule="auto"/>
              <w:jc w:val="center"/>
              <w:rPr>
                <w:rFonts w:ascii="Cambria" w:eastAsia="Georgia" w:hAnsi="Cambria" w:cs="Georgia"/>
                <w:b/>
                <w:sz w:val="20"/>
                <w:szCs w:val="20"/>
              </w:rPr>
            </w:pPr>
          </w:p>
        </w:tc>
        <w:tc>
          <w:tcPr>
            <w:tcW w:w="5548" w:type="dxa"/>
            <w:gridSpan w:val="6"/>
            <w:tcBorders>
              <w:top w:val="single" w:sz="4" w:space="0" w:color="auto"/>
              <w:left w:val="single" w:sz="4" w:space="0" w:color="auto"/>
              <w:bottom w:val="single" w:sz="4" w:space="0" w:color="auto"/>
              <w:right w:val="single" w:sz="4" w:space="0" w:color="auto"/>
            </w:tcBorders>
          </w:tcPr>
          <w:p w14:paraId="67A27CD1" w14:textId="19602094"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eastAsia="Calibri" w:hAnsi="Cambria" w:cs="Calibri"/>
                <w:b/>
                <w:bCs/>
                <w:color w:val="000000"/>
                <w:sz w:val="20"/>
                <w:szCs w:val="20"/>
              </w:rPr>
              <w:t>Has the trainee’s wellbeing been discussed?</w:t>
            </w:r>
          </w:p>
        </w:tc>
        <w:tc>
          <w:tcPr>
            <w:tcW w:w="4164" w:type="dxa"/>
            <w:gridSpan w:val="4"/>
            <w:tcBorders>
              <w:top w:val="single" w:sz="4" w:space="0" w:color="auto"/>
              <w:left w:val="single" w:sz="4" w:space="0" w:color="auto"/>
              <w:bottom w:val="single" w:sz="4" w:space="0" w:color="auto"/>
              <w:right w:val="single" w:sz="4" w:space="0" w:color="auto"/>
            </w:tcBorders>
          </w:tcPr>
          <w:p w14:paraId="20AD7451" w14:textId="17CE8C55"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r w:rsidRPr="00C43406">
              <w:rPr>
                <w:rFonts w:ascii="Cambria" w:hAnsi="Cambria"/>
                <w:b/>
                <w:bCs/>
                <w:sz w:val="20"/>
                <w:szCs w:val="20"/>
              </w:rPr>
              <w:t>Y/N</w:t>
            </w:r>
          </w:p>
        </w:tc>
      </w:tr>
      <w:tr w:rsidR="00442355" w:rsidRPr="00C43406" w14:paraId="030E3747" w14:textId="77777777" w:rsidTr="00442355">
        <w:trPr>
          <w:trHeight w:val="356"/>
        </w:trPr>
        <w:tc>
          <w:tcPr>
            <w:tcW w:w="1504" w:type="dxa"/>
            <w:vMerge/>
            <w:tcBorders>
              <w:left w:val="single" w:sz="4" w:space="0" w:color="auto"/>
              <w:right w:val="single" w:sz="4" w:space="0" w:color="auto"/>
            </w:tcBorders>
          </w:tcPr>
          <w:p w14:paraId="65A50366" w14:textId="77777777" w:rsidR="00442355" w:rsidRPr="00C43406" w:rsidRDefault="00442355" w:rsidP="00442355">
            <w:pPr>
              <w:spacing w:line="237" w:lineRule="auto"/>
              <w:jc w:val="center"/>
              <w:rPr>
                <w:rFonts w:ascii="Cambria" w:eastAsia="Georgia" w:hAnsi="Cambria" w:cs="Georgia"/>
                <w:b/>
                <w:sz w:val="20"/>
                <w:szCs w:val="20"/>
              </w:rPr>
            </w:pPr>
          </w:p>
        </w:tc>
        <w:tc>
          <w:tcPr>
            <w:tcW w:w="9712" w:type="dxa"/>
            <w:gridSpan w:val="10"/>
            <w:tcBorders>
              <w:top w:val="single" w:sz="4" w:space="0" w:color="auto"/>
              <w:left w:val="single" w:sz="4" w:space="0" w:color="auto"/>
              <w:bottom w:val="single" w:sz="4" w:space="0" w:color="auto"/>
              <w:right w:val="single" w:sz="4" w:space="0" w:color="auto"/>
            </w:tcBorders>
          </w:tcPr>
          <w:p w14:paraId="298BEA06" w14:textId="77777777" w:rsidR="00442355" w:rsidRPr="00C43406" w:rsidRDefault="00442355" w:rsidP="00442355">
            <w:pPr>
              <w:pStyle w:val="xmsolistparagraph"/>
              <w:shd w:val="clear" w:color="auto" w:fill="FFFFFF"/>
              <w:spacing w:before="0" w:beforeAutospacing="0" w:after="0" w:afterAutospacing="0"/>
              <w:rPr>
                <w:rFonts w:ascii="Cambria" w:eastAsia="Calibri" w:hAnsi="Cambria" w:cs="Calibri"/>
                <w:color w:val="000000"/>
                <w:sz w:val="20"/>
                <w:szCs w:val="20"/>
              </w:rPr>
            </w:pPr>
            <w:r w:rsidRPr="00C43406">
              <w:rPr>
                <w:rFonts w:ascii="Cambria" w:eastAsia="Calibri" w:hAnsi="Cambria" w:cs="Calibri"/>
                <w:color w:val="000000"/>
                <w:sz w:val="20"/>
                <w:szCs w:val="20"/>
              </w:rPr>
              <w:t>Actions or follow up (if needed)</w:t>
            </w:r>
          </w:p>
          <w:p w14:paraId="06804CC8" w14:textId="779DAD5F" w:rsidR="00442355" w:rsidRPr="00C43406" w:rsidRDefault="00442355" w:rsidP="00442355">
            <w:pPr>
              <w:pStyle w:val="xmsolistparagraph"/>
              <w:shd w:val="clear" w:color="auto" w:fill="FFFFFF"/>
              <w:spacing w:before="0" w:beforeAutospacing="0" w:after="0" w:afterAutospacing="0"/>
              <w:rPr>
                <w:rFonts w:ascii="Cambria" w:hAnsi="Cambria" w:cs="Calibri"/>
                <w:color w:val="201F1E"/>
                <w:sz w:val="20"/>
                <w:szCs w:val="20"/>
              </w:rPr>
            </w:pPr>
          </w:p>
        </w:tc>
      </w:tr>
      <w:tr w:rsidR="00442355" w:rsidRPr="00C43406" w14:paraId="1EFF03BD" w14:textId="77777777" w:rsidTr="00442355">
        <w:trPr>
          <w:trHeight w:val="301"/>
        </w:trPr>
        <w:tc>
          <w:tcPr>
            <w:tcW w:w="1504" w:type="dxa"/>
            <w:vMerge w:val="restart"/>
            <w:tcBorders>
              <w:top w:val="single" w:sz="4" w:space="0" w:color="auto"/>
              <w:left w:val="single" w:sz="4" w:space="0" w:color="auto"/>
              <w:right w:val="single" w:sz="4" w:space="0" w:color="auto"/>
            </w:tcBorders>
          </w:tcPr>
          <w:p w14:paraId="78D25B1F" w14:textId="6EA1D7F1" w:rsidR="00442355" w:rsidRPr="00C43406" w:rsidRDefault="00442355" w:rsidP="00442355">
            <w:pPr>
              <w:spacing w:line="237" w:lineRule="auto"/>
              <w:jc w:val="center"/>
              <w:rPr>
                <w:rFonts w:ascii="Cambria" w:eastAsia="Georgia" w:hAnsi="Cambria" w:cs="Georgia"/>
                <w:b/>
                <w:sz w:val="20"/>
                <w:szCs w:val="20"/>
              </w:rPr>
            </w:pPr>
            <w:r w:rsidRPr="00C43406">
              <w:rPr>
                <w:rFonts w:ascii="Cambria" w:eastAsia="Georgia" w:hAnsi="Cambria" w:cs="Georgia"/>
                <w:b/>
                <w:sz w:val="20"/>
                <w:szCs w:val="20"/>
              </w:rPr>
              <w:lastRenderedPageBreak/>
              <w:t>Opportunities identified for progress</w:t>
            </w:r>
            <w:r w:rsidRPr="00C43406">
              <w:rPr>
                <w:rFonts w:ascii="Cambria" w:hAnsi="Cambria"/>
                <w:noProof/>
                <w:sz w:val="20"/>
                <w:szCs w:val="20"/>
              </w:rPr>
              <w:drawing>
                <wp:inline distT="0" distB="0" distL="0" distR="0" wp14:anchorId="486CDDD0" wp14:editId="421894C8">
                  <wp:extent cx="628650" cy="652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5790" cy="660339"/>
                          </a:xfrm>
                          <a:prstGeom prst="rect">
                            <a:avLst/>
                          </a:prstGeom>
                        </pic:spPr>
                      </pic:pic>
                    </a:graphicData>
                  </a:graphic>
                </wp:inline>
              </w:drawing>
            </w:r>
          </w:p>
        </w:tc>
        <w:tc>
          <w:tcPr>
            <w:tcW w:w="234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516C0A" w14:textId="6B211BFE"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To make progress through the curriculum the trainee needs to:</w:t>
            </w:r>
          </w:p>
        </w:tc>
        <w:tc>
          <w:tcPr>
            <w:tcW w:w="7369" w:type="dxa"/>
            <w:gridSpan w:val="8"/>
            <w:tcBorders>
              <w:top w:val="single" w:sz="4" w:space="0" w:color="auto"/>
              <w:left w:val="single" w:sz="4" w:space="0" w:color="auto"/>
              <w:bottom w:val="single" w:sz="4" w:space="0" w:color="auto"/>
              <w:right w:val="single" w:sz="4" w:space="0" w:color="auto"/>
            </w:tcBorders>
            <w:shd w:val="clear" w:color="auto" w:fill="E7E6E6" w:themeFill="background2"/>
          </w:tcPr>
          <w:p w14:paraId="38FEB8A9" w14:textId="3855A4EA"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Opportunity agrees for trainee to practise, observe, or receive feedback on this target</w:t>
            </w:r>
          </w:p>
        </w:tc>
      </w:tr>
      <w:tr w:rsidR="00442355" w:rsidRPr="00C43406" w14:paraId="19ADFC6E" w14:textId="77777777" w:rsidTr="00442355">
        <w:trPr>
          <w:trHeight w:val="301"/>
        </w:trPr>
        <w:tc>
          <w:tcPr>
            <w:tcW w:w="1504" w:type="dxa"/>
            <w:vMerge/>
            <w:tcBorders>
              <w:left w:val="single" w:sz="4" w:space="0" w:color="auto"/>
              <w:right w:val="single" w:sz="4" w:space="0" w:color="auto"/>
            </w:tcBorders>
          </w:tcPr>
          <w:p w14:paraId="317BB4BF"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4B7A6363" w14:textId="03E62649"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1.</w:t>
            </w:r>
          </w:p>
        </w:tc>
        <w:tc>
          <w:tcPr>
            <w:tcW w:w="7369" w:type="dxa"/>
            <w:gridSpan w:val="8"/>
            <w:tcBorders>
              <w:top w:val="single" w:sz="4" w:space="0" w:color="auto"/>
              <w:left w:val="single" w:sz="4" w:space="0" w:color="auto"/>
              <w:bottom w:val="single" w:sz="4" w:space="0" w:color="auto"/>
              <w:right w:val="single" w:sz="4" w:space="0" w:color="auto"/>
            </w:tcBorders>
          </w:tcPr>
          <w:p w14:paraId="71D1D38F" w14:textId="440D40C3"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48262457" w14:textId="77777777" w:rsidTr="00442355">
        <w:trPr>
          <w:trHeight w:val="301"/>
        </w:trPr>
        <w:tc>
          <w:tcPr>
            <w:tcW w:w="1504" w:type="dxa"/>
            <w:vMerge/>
            <w:tcBorders>
              <w:left w:val="single" w:sz="4" w:space="0" w:color="auto"/>
              <w:right w:val="single" w:sz="4" w:space="0" w:color="auto"/>
            </w:tcBorders>
          </w:tcPr>
          <w:p w14:paraId="42B9B598"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20ABC3DA" w14:textId="4A4CA355"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2.</w:t>
            </w:r>
          </w:p>
        </w:tc>
        <w:tc>
          <w:tcPr>
            <w:tcW w:w="7369" w:type="dxa"/>
            <w:gridSpan w:val="8"/>
            <w:tcBorders>
              <w:top w:val="single" w:sz="4" w:space="0" w:color="auto"/>
              <w:left w:val="single" w:sz="4" w:space="0" w:color="auto"/>
              <w:bottom w:val="single" w:sz="4" w:space="0" w:color="auto"/>
              <w:right w:val="single" w:sz="4" w:space="0" w:color="auto"/>
            </w:tcBorders>
          </w:tcPr>
          <w:p w14:paraId="69785372" w14:textId="300DE8E1"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4FEC5910" w14:textId="77777777" w:rsidTr="00442355">
        <w:trPr>
          <w:trHeight w:val="301"/>
        </w:trPr>
        <w:tc>
          <w:tcPr>
            <w:tcW w:w="1504" w:type="dxa"/>
            <w:vMerge/>
            <w:tcBorders>
              <w:left w:val="single" w:sz="4" w:space="0" w:color="auto"/>
              <w:bottom w:val="single" w:sz="4" w:space="0" w:color="auto"/>
              <w:right w:val="single" w:sz="4" w:space="0" w:color="auto"/>
            </w:tcBorders>
          </w:tcPr>
          <w:p w14:paraId="7A4CF4F8" w14:textId="77777777" w:rsidR="00442355" w:rsidRPr="00C43406" w:rsidRDefault="00442355" w:rsidP="00442355">
            <w:pPr>
              <w:spacing w:line="237" w:lineRule="auto"/>
              <w:jc w:val="center"/>
              <w:rPr>
                <w:rFonts w:ascii="Cambria" w:hAnsi="Cambria"/>
                <w:noProof/>
                <w:sz w:val="20"/>
                <w:szCs w:val="20"/>
              </w:rPr>
            </w:pPr>
          </w:p>
        </w:tc>
        <w:tc>
          <w:tcPr>
            <w:tcW w:w="2343" w:type="dxa"/>
            <w:gridSpan w:val="2"/>
            <w:tcBorders>
              <w:top w:val="single" w:sz="4" w:space="0" w:color="auto"/>
              <w:left w:val="single" w:sz="4" w:space="0" w:color="auto"/>
              <w:bottom w:val="single" w:sz="4" w:space="0" w:color="auto"/>
              <w:right w:val="single" w:sz="4" w:space="0" w:color="auto"/>
            </w:tcBorders>
          </w:tcPr>
          <w:p w14:paraId="55CCE2C3" w14:textId="478E39C4"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r w:rsidRPr="00C43406">
              <w:rPr>
                <w:rFonts w:ascii="Cambria" w:hAnsi="Cambria" w:cs="Calibri"/>
                <w:b/>
                <w:bCs/>
                <w:color w:val="201F1E"/>
                <w:sz w:val="20"/>
                <w:szCs w:val="20"/>
              </w:rPr>
              <w:t>3.</w:t>
            </w:r>
          </w:p>
        </w:tc>
        <w:tc>
          <w:tcPr>
            <w:tcW w:w="7369" w:type="dxa"/>
            <w:gridSpan w:val="8"/>
            <w:tcBorders>
              <w:top w:val="single" w:sz="4" w:space="0" w:color="auto"/>
              <w:left w:val="single" w:sz="4" w:space="0" w:color="auto"/>
              <w:bottom w:val="single" w:sz="4" w:space="0" w:color="auto"/>
              <w:right w:val="single" w:sz="4" w:space="0" w:color="auto"/>
            </w:tcBorders>
          </w:tcPr>
          <w:p w14:paraId="755EC65A" w14:textId="4BA360FF" w:rsidR="00442355" w:rsidRPr="00C43406" w:rsidRDefault="00442355" w:rsidP="00442355">
            <w:pPr>
              <w:pStyle w:val="xmsolistparagraph"/>
              <w:shd w:val="clear" w:color="auto" w:fill="FFFFFF"/>
              <w:spacing w:before="0" w:beforeAutospacing="0" w:after="0" w:afterAutospacing="0"/>
              <w:rPr>
                <w:rFonts w:ascii="Cambria" w:hAnsi="Cambria" w:cs="Calibri"/>
                <w:b/>
                <w:bCs/>
                <w:color w:val="201F1E"/>
                <w:sz w:val="20"/>
                <w:szCs w:val="20"/>
              </w:rPr>
            </w:pPr>
          </w:p>
        </w:tc>
      </w:tr>
      <w:tr w:rsidR="00442355" w:rsidRPr="00C43406" w14:paraId="3CBB1465" w14:textId="77777777" w:rsidTr="000745F8">
        <w:trPr>
          <w:trHeight w:val="413"/>
        </w:trPr>
        <w:tc>
          <w:tcPr>
            <w:tcW w:w="11216"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442355" w:rsidRPr="00C43406" w:rsidRDefault="00442355" w:rsidP="00442355">
            <w:pPr>
              <w:rPr>
                <w:rFonts w:ascii="Cambria" w:hAnsi="Cambria" w:cs="Arial"/>
                <w:b/>
                <w:bCs/>
                <w:sz w:val="20"/>
                <w:szCs w:val="20"/>
              </w:rPr>
            </w:pPr>
            <w:r w:rsidRPr="00C43406">
              <w:rPr>
                <w:rFonts w:ascii="Cambria" w:hAnsi="Cambria" w:cs="Arial"/>
                <w:b/>
                <w:sz w:val="20"/>
                <w:szCs w:val="20"/>
              </w:rPr>
              <w:t>Current progress would suggest that t</w:t>
            </w:r>
            <w:r w:rsidRPr="00C43406">
              <w:rPr>
                <w:rFonts w:ascii="Cambria" w:hAnsi="Cambria" w:cs="Arial"/>
                <w:b/>
                <w:bCs/>
                <w:sz w:val="20"/>
                <w:szCs w:val="20"/>
              </w:rPr>
              <w:t>he trainee is making sufficient progress through the curriculum to proceed:</w:t>
            </w:r>
          </w:p>
          <w:p w14:paraId="4CCEE12F" w14:textId="63B8AE15" w:rsidR="00442355" w:rsidRPr="00C43406" w:rsidRDefault="00442355" w:rsidP="00442355">
            <w:pPr>
              <w:rPr>
                <w:rFonts w:ascii="Cambria" w:hAnsi="Cambria" w:cs="Arial"/>
                <w:b/>
                <w:bCs/>
                <w:sz w:val="20"/>
                <w:szCs w:val="20"/>
              </w:rPr>
            </w:pPr>
            <w:r w:rsidRPr="00C43406">
              <w:rPr>
                <w:rFonts w:ascii="Segoe UI Symbol" w:eastAsia="MS Gothic" w:hAnsi="Segoe UI Symbol" w:cs="Segoe UI Symbol"/>
                <w:b/>
                <w:bCs/>
                <w:color w:val="auto"/>
                <w:sz w:val="20"/>
                <w:szCs w:val="20"/>
              </w:rPr>
              <w:t>☐</w:t>
            </w:r>
            <w:r w:rsidRPr="00C43406">
              <w:rPr>
                <w:rFonts w:ascii="Cambria" w:hAnsi="Cambria" w:cs="Arial"/>
                <w:b/>
                <w:bCs/>
                <w:color w:val="auto"/>
                <w:sz w:val="20"/>
                <w:szCs w:val="20"/>
              </w:rPr>
              <w:t xml:space="preserve"> Yes</w:t>
            </w:r>
            <w:r w:rsidRPr="00C43406">
              <w:rPr>
                <w:rFonts w:ascii="Cambria" w:hAnsi="Cambria" w:cs="Arial"/>
                <w:b/>
                <w:bCs/>
                <w:sz w:val="20"/>
                <w:szCs w:val="20"/>
              </w:rPr>
              <w:t>, trainee is making sufficient progress through the curriculum.</w:t>
            </w:r>
          </w:p>
          <w:p w14:paraId="015224A5" w14:textId="58D04F27" w:rsidR="00442355" w:rsidRPr="00C43406" w:rsidRDefault="00442355" w:rsidP="00442355">
            <w:pPr>
              <w:rPr>
                <w:rFonts w:ascii="Cambria" w:hAnsi="Cambria" w:cs="Arial"/>
                <w:b/>
                <w:bCs/>
                <w:sz w:val="20"/>
                <w:szCs w:val="20"/>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Yes, trainee is making sufficient progress through the curriculum, but this has required additional support </w:t>
            </w:r>
            <w:r w:rsidRPr="00C43406">
              <w:rPr>
                <w:rFonts w:ascii="Cambria" w:hAnsi="Cambria" w:cs="Arial"/>
                <w:b/>
                <w:bCs/>
                <w:sz w:val="14"/>
                <w:szCs w:val="14"/>
              </w:rPr>
              <w:t>(please list the additional support provided below. For example, a reduction in teaching load, additional meetings, use of team-teaching etc</w:t>
            </w:r>
            <w:r w:rsidRPr="00C43406">
              <w:rPr>
                <w:rFonts w:ascii="Cambria" w:hAnsi="Cambria" w:cs="Arial"/>
                <w:b/>
                <w:bCs/>
                <w:sz w:val="20"/>
                <w:szCs w:val="20"/>
              </w:rPr>
              <w:t>).</w:t>
            </w:r>
          </w:p>
          <w:p w14:paraId="33ECB3E4" w14:textId="77777777" w:rsidR="00442355" w:rsidRPr="00C43406" w:rsidRDefault="00442355" w:rsidP="00442355">
            <w:pPr>
              <w:rPr>
                <w:rFonts w:ascii="Cambria" w:hAnsi="Cambria" w:cs="Arial"/>
                <w:b/>
                <w:bCs/>
                <w:sz w:val="20"/>
                <w:szCs w:val="20"/>
              </w:rPr>
            </w:pPr>
          </w:p>
          <w:p w14:paraId="2DBD45D4" w14:textId="77777777" w:rsidR="00442355" w:rsidRPr="00C43406" w:rsidRDefault="00442355" w:rsidP="00442355">
            <w:pPr>
              <w:rPr>
                <w:rFonts w:ascii="Cambria" w:hAnsi="Cambria" w:cs="Arial"/>
                <w:b/>
                <w:bCs/>
                <w:sz w:val="20"/>
                <w:szCs w:val="20"/>
              </w:rPr>
            </w:pPr>
          </w:p>
          <w:p w14:paraId="24E9E9CD" w14:textId="6E9B7354" w:rsidR="00442355" w:rsidRPr="00C43406" w:rsidRDefault="00442355" w:rsidP="00442355">
            <w:pPr>
              <w:rPr>
                <w:rFonts w:ascii="Cambria" w:hAnsi="Cambria" w:cs="Arial"/>
                <w:b/>
                <w:sz w:val="24"/>
                <w:szCs w:val="24"/>
              </w:rPr>
            </w:pPr>
            <w:r w:rsidRPr="00C43406">
              <w:rPr>
                <w:rFonts w:ascii="Segoe UI Symbol" w:eastAsia="MS Gothic" w:hAnsi="Segoe UI Symbol" w:cs="Segoe UI Symbol"/>
                <w:b/>
                <w:bCs/>
                <w:sz w:val="20"/>
                <w:szCs w:val="20"/>
              </w:rPr>
              <w:t>☐</w:t>
            </w:r>
            <w:r w:rsidRPr="00C43406">
              <w:rPr>
                <w:rFonts w:ascii="Cambria" w:hAnsi="Cambria" w:cs="Arial"/>
                <w:b/>
                <w:bCs/>
                <w:sz w:val="20"/>
                <w:szCs w:val="20"/>
              </w:rPr>
              <w:t xml:space="preserve"> No, despite additional support the trainee is not making sufficient progress through the curriculum. A Progress Support Plan should be considered.</w:t>
            </w:r>
            <w:r w:rsidRPr="00C43406">
              <w:rPr>
                <w:rFonts w:ascii="Cambria" w:hAnsi="Cambria" w:cs="Arial"/>
                <w:b/>
                <w:bCs/>
                <w:sz w:val="24"/>
                <w:szCs w:val="24"/>
              </w:rPr>
              <w:t xml:space="preserve"> </w:t>
            </w:r>
          </w:p>
        </w:tc>
      </w:tr>
      <w:bookmarkEnd w:id="0"/>
    </w:tbl>
    <w:p w14:paraId="1FF584B5" w14:textId="77777777" w:rsidR="000C0420" w:rsidRPr="00C43406" w:rsidRDefault="000C0420">
      <w:pPr>
        <w:spacing w:after="0"/>
        <w:rPr>
          <w:rFonts w:ascii="Cambria" w:hAnsi="Cambria"/>
          <w:sz w:val="16"/>
          <w:szCs w:val="16"/>
        </w:rPr>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C43406" w14:paraId="2B058134" w14:textId="77777777" w:rsidTr="00F83C7A">
        <w:trPr>
          <w:trHeight w:val="448"/>
        </w:trPr>
        <w:tc>
          <w:tcPr>
            <w:tcW w:w="1050" w:type="pct"/>
            <w:shd w:val="clear" w:color="auto" w:fill="B4C6E7" w:themeFill="accent1" w:themeFillTint="66"/>
          </w:tcPr>
          <w:p w14:paraId="22A85F45" w14:textId="77777777" w:rsidR="005C4DE7" w:rsidRPr="00C43406" w:rsidRDefault="005C4DE7" w:rsidP="00A7305C">
            <w:pPr>
              <w:spacing w:after="0" w:line="240" w:lineRule="auto"/>
              <w:rPr>
                <w:rFonts w:ascii="Cambria" w:hAnsi="Cambria" w:cs="Arial"/>
                <w:bCs/>
              </w:rPr>
            </w:pPr>
            <w:r w:rsidRPr="00C43406">
              <w:rPr>
                <w:rFonts w:ascii="Cambria" w:hAnsi="Cambria" w:cs="Arial"/>
                <w:b/>
              </w:rPr>
              <w:t xml:space="preserve">Mentor </w:t>
            </w:r>
            <w:r w:rsidRPr="00C43406">
              <w:rPr>
                <w:rFonts w:ascii="Cambria" w:hAnsi="Cambria" w:cs="Arial"/>
                <w:bCs/>
              </w:rPr>
              <w:t>Signature</w:t>
            </w:r>
          </w:p>
          <w:p w14:paraId="305B90D7" w14:textId="77777777" w:rsidR="005C4DE7" w:rsidRPr="00C43406" w:rsidRDefault="005C4DE7" w:rsidP="00A7305C">
            <w:pPr>
              <w:spacing w:after="0" w:line="240" w:lineRule="auto"/>
              <w:rPr>
                <w:rFonts w:ascii="Cambria" w:hAnsi="Cambria" w:cs="Arial"/>
                <w:b/>
              </w:rPr>
            </w:pPr>
          </w:p>
        </w:tc>
        <w:tc>
          <w:tcPr>
            <w:tcW w:w="3950" w:type="pct"/>
            <w:vAlign w:val="center"/>
          </w:tcPr>
          <w:p w14:paraId="43D0597A" w14:textId="4CFB96B0" w:rsidR="005C4DE7" w:rsidRPr="00C43406" w:rsidRDefault="005C4DE7" w:rsidP="00A7305C">
            <w:pPr>
              <w:spacing w:after="0" w:line="240" w:lineRule="auto"/>
              <w:rPr>
                <w:rFonts w:ascii="Cambria" w:hAnsi="Cambria" w:cs="Arial"/>
                <w:bCs/>
              </w:rPr>
            </w:pPr>
          </w:p>
        </w:tc>
      </w:tr>
      <w:tr w:rsidR="005C4DE7" w:rsidRPr="00C43406" w14:paraId="0152676E" w14:textId="77777777" w:rsidTr="00F83C7A">
        <w:trPr>
          <w:trHeight w:val="448"/>
        </w:trPr>
        <w:tc>
          <w:tcPr>
            <w:tcW w:w="1050" w:type="pct"/>
            <w:shd w:val="clear" w:color="auto" w:fill="B4C6E7" w:themeFill="accent1" w:themeFillTint="66"/>
          </w:tcPr>
          <w:p w14:paraId="138ACE6B" w14:textId="3921E529" w:rsidR="005C4DE7" w:rsidRPr="00C43406" w:rsidRDefault="005C4DE7" w:rsidP="00A7305C">
            <w:pPr>
              <w:spacing w:after="0" w:line="240" w:lineRule="auto"/>
              <w:rPr>
                <w:rFonts w:ascii="Cambria" w:hAnsi="Cambria" w:cs="Arial"/>
                <w:b/>
              </w:rPr>
            </w:pPr>
            <w:r w:rsidRPr="00C43406">
              <w:rPr>
                <w:rFonts w:ascii="Cambria" w:hAnsi="Cambria" w:cs="Arial"/>
                <w:b/>
              </w:rPr>
              <w:t>Trainee</w:t>
            </w:r>
            <w:r w:rsidR="00F83C7A" w:rsidRPr="00C43406">
              <w:rPr>
                <w:rFonts w:ascii="Cambria" w:hAnsi="Cambria" w:cs="Arial"/>
                <w:b/>
              </w:rPr>
              <w:t xml:space="preserve"> </w:t>
            </w:r>
            <w:r w:rsidRPr="00C43406">
              <w:rPr>
                <w:rFonts w:ascii="Cambria" w:hAnsi="Cambria" w:cs="Arial"/>
                <w:bCs/>
              </w:rPr>
              <w:t>Signature</w:t>
            </w:r>
          </w:p>
          <w:p w14:paraId="4F1D9292" w14:textId="77777777" w:rsidR="005C4DE7" w:rsidRPr="00C43406" w:rsidRDefault="005C4DE7" w:rsidP="00A7305C">
            <w:pPr>
              <w:spacing w:after="0" w:line="240" w:lineRule="auto"/>
              <w:rPr>
                <w:rFonts w:ascii="Cambria" w:hAnsi="Cambria" w:cs="Arial"/>
                <w:b/>
              </w:rPr>
            </w:pPr>
          </w:p>
        </w:tc>
        <w:tc>
          <w:tcPr>
            <w:tcW w:w="3950" w:type="pct"/>
            <w:vAlign w:val="center"/>
          </w:tcPr>
          <w:p w14:paraId="3C8CD19E" w14:textId="68B8199D" w:rsidR="005C4DE7" w:rsidRPr="00C43406" w:rsidRDefault="005C4DE7" w:rsidP="00A7305C">
            <w:pPr>
              <w:spacing w:after="0" w:line="240" w:lineRule="auto"/>
              <w:rPr>
                <w:rFonts w:ascii="Cambria" w:hAnsi="Cambria" w:cs="Arial"/>
                <w:bCs/>
              </w:rPr>
            </w:pPr>
          </w:p>
        </w:tc>
      </w:tr>
      <w:tr w:rsidR="005C4DE7" w:rsidRPr="00C43406" w14:paraId="00DD1E78" w14:textId="77777777" w:rsidTr="00A7227A">
        <w:trPr>
          <w:trHeight w:val="448"/>
        </w:trPr>
        <w:tc>
          <w:tcPr>
            <w:tcW w:w="5000" w:type="pct"/>
            <w:gridSpan w:val="2"/>
            <w:shd w:val="clear" w:color="auto" w:fill="auto"/>
          </w:tcPr>
          <w:p w14:paraId="51568FF2" w14:textId="0B076187" w:rsidR="005C4DE7" w:rsidRPr="00C43406" w:rsidRDefault="005C4DE7" w:rsidP="00A7305C">
            <w:pPr>
              <w:spacing w:after="0" w:line="240" w:lineRule="auto"/>
              <w:jc w:val="center"/>
              <w:rPr>
                <w:rFonts w:ascii="Cambria" w:hAnsi="Cambria" w:cs="Arial"/>
                <w:bCs/>
              </w:rPr>
            </w:pPr>
            <w:r w:rsidRPr="00C43406">
              <w:rPr>
                <w:rFonts w:ascii="Cambria" w:hAnsi="Cambria" w:cs="Arial"/>
                <w:bCs/>
              </w:rPr>
              <w:t>Trainee</w:t>
            </w:r>
            <w:r w:rsidR="00275428" w:rsidRPr="00C43406">
              <w:rPr>
                <w:rFonts w:ascii="Cambria" w:hAnsi="Cambria" w:cs="Arial"/>
                <w:bCs/>
              </w:rPr>
              <w:t>s</w:t>
            </w:r>
            <w:r w:rsidRPr="00C43406">
              <w:rPr>
                <w:rFonts w:ascii="Cambria" w:hAnsi="Cambria" w:cs="Arial"/>
                <w:bCs/>
              </w:rPr>
              <w:t xml:space="preserve"> should ensure this WDS is submitted by the deadline for the purpose of formative assessment. Failure to do prevents the Link Tutor from assessing their progress and </w:t>
            </w:r>
            <w:r w:rsidR="00275428" w:rsidRPr="00C43406">
              <w:rPr>
                <w:rFonts w:ascii="Cambria" w:hAnsi="Cambria" w:cs="Arial"/>
                <w:bCs/>
              </w:rPr>
              <w:t xml:space="preserve">may result in the trainee being placed on a Progress </w:t>
            </w:r>
            <w:r w:rsidR="00723015" w:rsidRPr="00C43406">
              <w:rPr>
                <w:rFonts w:ascii="Cambria" w:hAnsi="Cambria" w:cs="Arial"/>
                <w:bCs/>
              </w:rPr>
              <w:t>Support</w:t>
            </w:r>
            <w:r w:rsidR="00275428" w:rsidRPr="00C43406">
              <w:rPr>
                <w:rFonts w:ascii="Cambria" w:hAnsi="Cambria" w:cs="Arial"/>
                <w:bCs/>
              </w:rPr>
              <w:t xml:space="preserve"> Plan.</w:t>
            </w:r>
          </w:p>
        </w:tc>
      </w:tr>
    </w:tbl>
    <w:p w14:paraId="4BE1844F" w14:textId="77777777" w:rsidR="005C4DE7" w:rsidRPr="00C43406" w:rsidRDefault="005C4DE7">
      <w:pPr>
        <w:spacing w:after="0"/>
        <w:rPr>
          <w:rFonts w:ascii="Cambria" w:hAnsi="Cambria"/>
        </w:rPr>
      </w:pPr>
    </w:p>
    <w:sectPr w:rsidR="005C4DE7" w:rsidRPr="00C43406" w:rsidSect="008A67D8">
      <w:headerReference w:type="default" r:id="rId20"/>
      <w:footerReference w:type="default" r:id="rId2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2019" w14:textId="77777777" w:rsidR="008E4598" w:rsidRDefault="008E4598" w:rsidP="00BB0205">
      <w:pPr>
        <w:spacing w:after="0" w:line="240" w:lineRule="auto"/>
      </w:pPr>
      <w:r>
        <w:separator/>
      </w:r>
    </w:p>
  </w:endnote>
  <w:endnote w:type="continuationSeparator" w:id="0">
    <w:p w14:paraId="5F2B3CB0" w14:textId="77777777" w:rsidR="008E4598" w:rsidRDefault="008E4598"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6207" w14:textId="77777777" w:rsidR="008E4598" w:rsidRDefault="008E4598" w:rsidP="00BB0205">
      <w:pPr>
        <w:spacing w:after="0" w:line="240" w:lineRule="auto"/>
      </w:pPr>
      <w:r>
        <w:separator/>
      </w:r>
    </w:p>
  </w:footnote>
  <w:footnote w:type="continuationSeparator" w:id="0">
    <w:p w14:paraId="1F851E3F" w14:textId="77777777" w:rsidR="008E4598" w:rsidRDefault="008E4598"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263757"/>
    <w:multiLevelType w:val="hybridMultilevel"/>
    <w:tmpl w:val="933E3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0982005">
    <w:abstractNumId w:val="4"/>
  </w:num>
  <w:num w:numId="2" w16cid:durableId="745959156">
    <w:abstractNumId w:val="2"/>
  </w:num>
  <w:num w:numId="3" w16cid:durableId="365060952">
    <w:abstractNumId w:val="1"/>
  </w:num>
  <w:num w:numId="4" w16cid:durableId="970749666">
    <w:abstractNumId w:val="0"/>
  </w:num>
  <w:num w:numId="5" w16cid:durableId="164477739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EB"/>
    <w:rsid w:val="00005C4D"/>
    <w:rsid w:val="000177E9"/>
    <w:rsid w:val="00024B55"/>
    <w:rsid w:val="000467DF"/>
    <w:rsid w:val="000745F8"/>
    <w:rsid w:val="00084703"/>
    <w:rsid w:val="000A4500"/>
    <w:rsid w:val="000B4D6A"/>
    <w:rsid w:val="000C0420"/>
    <w:rsid w:val="000C72E4"/>
    <w:rsid w:val="000D2747"/>
    <w:rsid w:val="000D5631"/>
    <w:rsid w:val="000D6922"/>
    <w:rsid w:val="000F65FE"/>
    <w:rsid w:val="000F7F57"/>
    <w:rsid w:val="00132F3C"/>
    <w:rsid w:val="001436B1"/>
    <w:rsid w:val="001506CA"/>
    <w:rsid w:val="00164C19"/>
    <w:rsid w:val="00166757"/>
    <w:rsid w:val="00180F41"/>
    <w:rsid w:val="00187942"/>
    <w:rsid w:val="00193244"/>
    <w:rsid w:val="001A090B"/>
    <w:rsid w:val="001A52BF"/>
    <w:rsid w:val="001B0667"/>
    <w:rsid w:val="001B46A9"/>
    <w:rsid w:val="001B5C6F"/>
    <w:rsid w:val="001B5DFB"/>
    <w:rsid w:val="001B6008"/>
    <w:rsid w:val="001D2D75"/>
    <w:rsid w:val="001D6BD6"/>
    <w:rsid w:val="001E12CD"/>
    <w:rsid w:val="001E5B59"/>
    <w:rsid w:val="001F2CB3"/>
    <w:rsid w:val="0020392C"/>
    <w:rsid w:val="00203B1D"/>
    <w:rsid w:val="002077E7"/>
    <w:rsid w:val="002176C6"/>
    <w:rsid w:val="002402B7"/>
    <w:rsid w:val="00244BD5"/>
    <w:rsid w:val="00257C5E"/>
    <w:rsid w:val="00267F20"/>
    <w:rsid w:val="00275428"/>
    <w:rsid w:val="00275519"/>
    <w:rsid w:val="00276784"/>
    <w:rsid w:val="00284E41"/>
    <w:rsid w:val="00286DD6"/>
    <w:rsid w:val="002874A0"/>
    <w:rsid w:val="002945B0"/>
    <w:rsid w:val="002B11C8"/>
    <w:rsid w:val="002B467C"/>
    <w:rsid w:val="002D6840"/>
    <w:rsid w:val="002D71BC"/>
    <w:rsid w:val="002F0646"/>
    <w:rsid w:val="003324D5"/>
    <w:rsid w:val="00341E44"/>
    <w:rsid w:val="003433DA"/>
    <w:rsid w:val="003558A2"/>
    <w:rsid w:val="00360B99"/>
    <w:rsid w:val="00360FDF"/>
    <w:rsid w:val="00362E65"/>
    <w:rsid w:val="0036642F"/>
    <w:rsid w:val="00387F4F"/>
    <w:rsid w:val="00393C9C"/>
    <w:rsid w:val="00395639"/>
    <w:rsid w:val="003C0614"/>
    <w:rsid w:val="003C1D2B"/>
    <w:rsid w:val="003E7131"/>
    <w:rsid w:val="003F297E"/>
    <w:rsid w:val="004009A7"/>
    <w:rsid w:val="00402356"/>
    <w:rsid w:val="00403E3F"/>
    <w:rsid w:val="00430A20"/>
    <w:rsid w:val="00442355"/>
    <w:rsid w:val="00446426"/>
    <w:rsid w:val="004505DA"/>
    <w:rsid w:val="00464034"/>
    <w:rsid w:val="00470596"/>
    <w:rsid w:val="004762E5"/>
    <w:rsid w:val="00477565"/>
    <w:rsid w:val="00485777"/>
    <w:rsid w:val="004933A3"/>
    <w:rsid w:val="004A0E13"/>
    <w:rsid w:val="004C3CDB"/>
    <w:rsid w:val="004E6777"/>
    <w:rsid w:val="004F5A59"/>
    <w:rsid w:val="004F74A5"/>
    <w:rsid w:val="0050256E"/>
    <w:rsid w:val="005031C0"/>
    <w:rsid w:val="005061DF"/>
    <w:rsid w:val="005111A7"/>
    <w:rsid w:val="005113AE"/>
    <w:rsid w:val="005120DA"/>
    <w:rsid w:val="00523D39"/>
    <w:rsid w:val="00532449"/>
    <w:rsid w:val="00542102"/>
    <w:rsid w:val="005502E1"/>
    <w:rsid w:val="005511A4"/>
    <w:rsid w:val="005532B5"/>
    <w:rsid w:val="00553CE4"/>
    <w:rsid w:val="00554743"/>
    <w:rsid w:val="00556F37"/>
    <w:rsid w:val="00560FE2"/>
    <w:rsid w:val="00562575"/>
    <w:rsid w:val="0057496A"/>
    <w:rsid w:val="005775AE"/>
    <w:rsid w:val="00580D88"/>
    <w:rsid w:val="00586ACC"/>
    <w:rsid w:val="005A6715"/>
    <w:rsid w:val="005B4FD8"/>
    <w:rsid w:val="005C4629"/>
    <w:rsid w:val="005C4DE7"/>
    <w:rsid w:val="005E244C"/>
    <w:rsid w:val="005F3947"/>
    <w:rsid w:val="005F5A1C"/>
    <w:rsid w:val="00606867"/>
    <w:rsid w:val="006102D0"/>
    <w:rsid w:val="006112AB"/>
    <w:rsid w:val="006135EC"/>
    <w:rsid w:val="00615C5F"/>
    <w:rsid w:val="00624699"/>
    <w:rsid w:val="00631D4B"/>
    <w:rsid w:val="00634719"/>
    <w:rsid w:val="00637553"/>
    <w:rsid w:val="00645D9A"/>
    <w:rsid w:val="006466C4"/>
    <w:rsid w:val="0064731C"/>
    <w:rsid w:val="00650A8F"/>
    <w:rsid w:val="00663D4E"/>
    <w:rsid w:val="00690414"/>
    <w:rsid w:val="00690AD3"/>
    <w:rsid w:val="00690DB7"/>
    <w:rsid w:val="006928B6"/>
    <w:rsid w:val="006964E5"/>
    <w:rsid w:val="006A2DCB"/>
    <w:rsid w:val="006A777B"/>
    <w:rsid w:val="006B15D7"/>
    <w:rsid w:val="006B6ED3"/>
    <w:rsid w:val="006C0609"/>
    <w:rsid w:val="006D52FD"/>
    <w:rsid w:val="006E789E"/>
    <w:rsid w:val="00700026"/>
    <w:rsid w:val="00703A42"/>
    <w:rsid w:val="007052C0"/>
    <w:rsid w:val="0071620C"/>
    <w:rsid w:val="00723015"/>
    <w:rsid w:val="00725A8E"/>
    <w:rsid w:val="00726BDF"/>
    <w:rsid w:val="00745BFC"/>
    <w:rsid w:val="0075782C"/>
    <w:rsid w:val="00760D48"/>
    <w:rsid w:val="00775637"/>
    <w:rsid w:val="007904BD"/>
    <w:rsid w:val="007A0516"/>
    <w:rsid w:val="007B1A2C"/>
    <w:rsid w:val="007B4199"/>
    <w:rsid w:val="007C2932"/>
    <w:rsid w:val="007C66A6"/>
    <w:rsid w:val="007D2AA4"/>
    <w:rsid w:val="007E2240"/>
    <w:rsid w:val="00800444"/>
    <w:rsid w:val="008151B0"/>
    <w:rsid w:val="008235B7"/>
    <w:rsid w:val="00827369"/>
    <w:rsid w:val="00854B4E"/>
    <w:rsid w:val="00866227"/>
    <w:rsid w:val="008675C2"/>
    <w:rsid w:val="00876843"/>
    <w:rsid w:val="00894394"/>
    <w:rsid w:val="008A3736"/>
    <w:rsid w:val="008A6127"/>
    <w:rsid w:val="008A67D8"/>
    <w:rsid w:val="008B1D2B"/>
    <w:rsid w:val="008C5CA6"/>
    <w:rsid w:val="008C6ED4"/>
    <w:rsid w:val="008D261C"/>
    <w:rsid w:val="008D6C75"/>
    <w:rsid w:val="008E15AD"/>
    <w:rsid w:val="008E4598"/>
    <w:rsid w:val="008E4B82"/>
    <w:rsid w:val="00904801"/>
    <w:rsid w:val="009109D7"/>
    <w:rsid w:val="00923CC5"/>
    <w:rsid w:val="00943673"/>
    <w:rsid w:val="00945A5D"/>
    <w:rsid w:val="009461D9"/>
    <w:rsid w:val="009606AB"/>
    <w:rsid w:val="0096319B"/>
    <w:rsid w:val="00965AB0"/>
    <w:rsid w:val="00965CE6"/>
    <w:rsid w:val="00966A4C"/>
    <w:rsid w:val="00970EA0"/>
    <w:rsid w:val="0098658E"/>
    <w:rsid w:val="009B07B1"/>
    <w:rsid w:val="009B3121"/>
    <w:rsid w:val="009B6144"/>
    <w:rsid w:val="009C3A28"/>
    <w:rsid w:val="009C79B8"/>
    <w:rsid w:val="009D30D2"/>
    <w:rsid w:val="009F54DD"/>
    <w:rsid w:val="009F7DEE"/>
    <w:rsid w:val="00A00F62"/>
    <w:rsid w:val="00A166D0"/>
    <w:rsid w:val="00A17BCC"/>
    <w:rsid w:val="00A27B4C"/>
    <w:rsid w:val="00A30523"/>
    <w:rsid w:val="00A36B06"/>
    <w:rsid w:val="00A461C0"/>
    <w:rsid w:val="00A61137"/>
    <w:rsid w:val="00A7227A"/>
    <w:rsid w:val="00A7305C"/>
    <w:rsid w:val="00A771B9"/>
    <w:rsid w:val="00A92CA0"/>
    <w:rsid w:val="00A96610"/>
    <w:rsid w:val="00AA17CF"/>
    <w:rsid w:val="00AA3C08"/>
    <w:rsid w:val="00AA418D"/>
    <w:rsid w:val="00AB1862"/>
    <w:rsid w:val="00AC52AF"/>
    <w:rsid w:val="00AD1D6C"/>
    <w:rsid w:val="00AD2305"/>
    <w:rsid w:val="00AE0D6F"/>
    <w:rsid w:val="00AE47A3"/>
    <w:rsid w:val="00AE5D12"/>
    <w:rsid w:val="00B0196C"/>
    <w:rsid w:val="00B109B2"/>
    <w:rsid w:val="00B115B3"/>
    <w:rsid w:val="00B472AF"/>
    <w:rsid w:val="00B5000E"/>
    <w:rsid w:val="00B71FAE"/>
    <w:rsid w:val="00B75F73"/>
    <w:rsid w:val="00B8188E"/>
    <w:rsid w:val="00B92727"/>
    <w:rsid w:val="00BA06A2"/>
    <w:rsid w:val="00BA12BC"/>
    <w:rsid w:val="00BA3E39"/>
    <w:rsid w:val="00BB0205"/>
    <w:rsid w:val="00BB389A"/>
    <w:rsid w:val="00BC2D67"/>
    <w:rsid w:val="00BF017F"/>
    <w:rsid w:val="00BF1357"/>
    <w:rsid w:val="00BF6FA3"/>
    <w:rsid w:val="00C15D55"/>
    <w:rsid w:val="00C22CD9"/>
    <w:rsid w:val="00C43406"/>
    <w:rsid w:val="00C566ED"/>
    <w:rsid w:val="00C60438"/>
    <w:rsid w:val="00C663BC"/>
    <w:rsid w:val="00C67B8B"/>
    <w:rsid w:val="00C714FE"/>
    <w:rsid w:val="00C82FE6"/>
    <w:rsid w:val="00C93F96"/>
    <w:rsid w:val="00C95C29"/>
    <w:rsid w:val="00C97785"/>
    <w:rsid w:val="00CA07FC"/>
    <w:rsid w:val="00CB44DE"/>
    <w:rsid w:val="00CC5EA8"/>
    <w:rsid w:val="00CD181E"/>
    <w:rsid w:val="00CD75DC"/>
    <w:rsid w:val="00CE7529"/>
    <w:rsid w:val="00D01EC5"/>
    <w:rsid w:val="00D105DF"/>
    <w:rsid w:val="00D12C87"/>
    <w:rsid w:val="00D26EEE"/>
    <w:rsid w:val="00D3743F"/>
    <w:rsid w:val="00D67B11"/>
    <w:rsid w:val="00D7386B"/>
    <w:rsid w:val="00D77E29"/>
    <w:rsid w:val="00D8211D"/>
    <w:rsid w:val="00D852D6"/>
    <w:rsid w:val="00D9612E"/>
    <w:rsid w:val="00DA4C7E"/>
    <w:rsid w:val="00DB4B64"/>
    <w:rsid w:val="00DB7421"/>
    <w:rsid w:val="00DD16BA"/>
    <w:rsid w:val="00DD5A4F"/>
    <w:rsid w:val="00DF760B"/>
    <w:rsid w:val="00E147E5"/>
    <w:rsid w:val="00E22452"/>
    <w:rsid w:val="00E26F08"/>
    <w:rsid w:val="00E27B26"/>
    <w:rsid w:val="00E34D7D"/>
    <w:rsid w:val="00E457EF"/>
    <w:rsid w:val="00E45891"/>
    <w:rsid w:val="00E5003C"/>
    <w:rsid w:val="00E53DAA"/>
    <w:rsid w:val="00E65DEB"/>
    <w:rsid w:val="00EA1ECF"/>
    <w:rsid w:val="00EA77D3"/>
    <w:rsid w:val="00EB1FA3"/>
    <w:rsid w:val="00EE0C18"/>
    <w:rsid w:val="00EE1D6A"/>
    <w:rsid w:val="00EE53F3"/>
    <w:rsid w:val="00EE5A74"/>
    <w:rsid w:val="00EE64A0"/>
    <w:rsid w:val="00EF0AF4"/>
    <w:rsid w:val="00F07217"/>
    <w:rsid w:val="00F117E0"/>
    <w:rsid w:val="00F27212"/>
    <w:rsid w:val="00F45E23"/>
    <w:rsid w:val="00F47EC2"/>
    <w:rsid w:val="00F55928"/>
    <w:rsid w:val="00F5767B"/>
    <w:rsid w:val="00F6789C"/>
    <w:rsid w:val="00F77DFE"/>
    <w:rsid w:val="00F82C86"/>
    <w:rsid w:val="00F83B94"/>
    <w:rsid w:val="00F83C7A"/>
    <w:rsid w:val="00F83EAA"/>
    <w:rsid w:val="00FB2DB8"/>
    <w:rsid w:val="00FB38FA"/>
    <w:rsid w:val="00FB5206"/>
    <w:rsid w:val="00FC0E49"/>
    <w:rsid w:val="00FD57B4"/>
    <w:rsid w:val="00FD6C80"/>
    <w:rsid w:val="00FE47C3"/>
    <w:rsid w:val="00FE7B0A"/>
    <w:rsid w:val="00FF0E23"/>
    <w:rsid w:val="00FF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29973FDC-63BD-48F2-95D7-F3D5512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A4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 w:type="character" w:customStyle="1" w:styleId="Heading1Char">
    <w:name w:val="Heading 1 Char"/>
    <w:basedOn w:val="DefaultParagraphFont"/>
    <w:link w:val="Heading1"/>
    <w:uiPriority w:val="9"/>
    <w:rsid w:val="00AA418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63326106">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1398628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ngravells.com/information/assessment#&amp;gid=1&amp;pid=1"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5a7ff89fe5274a2e87db7165/DFE-RR456A_-_Workload_Challenge_Analysis_of_teacher_consultation_responses_sixth_form_colleges.pdf"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enews.co.uk/fe-voices/what-is-assess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dc:description/>
  <cp:lastModifiedBy>Justine Smith</cp:lastModifiedBy>
  <cp:revision>2</cp:revision>
  <cp:lastPrinted>2023-06-21T08:24:00Z</cp:lastPrinted>
  <dcterms:created xsi:type="dcterms:W3CDTF">2024-02-09T13:37:00Z</dcterms:created>
  <dcterms:modified xsi:type="dcterms:W3CDTF">2024-02-09T13:37:00Z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