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3741"/>
        <w:gridCol w:w="1042"/>
        <w:gridCol w:w="4863"/>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6B1CC6FB"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3A4BAE">
              <w:rPr>
                <w:rFonts w:asciiTheme="minorHAnsi" w:hAnsiTheme="minorHAnsi" w:cstheme="minorHAnsi"/>
                <w:szCs w:val="24"/>
              </w:rPr>
              <w:t>5-11</w:t>
            </w:r>
            <w:r w:rsidRPr="00C1007B">
              <w:rPr>
                <w:rFonts w:asciiTheme="minorHAnsi" w:hAnsiTheme="minorHAnsi" w:cstheme="minorHAnsi"/>
                <w:szCs w:val="24"/>
              </w:rPr>
              <w:t xml:space="preserve">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50EBC92D"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r w:rsidR="003A4BAE">
              <w:rPr>
                <w:rFonts w:asciiTheme="minorHAnsi" w:hAnsiTheme="minorHAnsi" w:cstheme="minorHAnsi"/>
                <w:b/>
                <w:bCs/>
                <w:szCs w:val="24"/>
              </w:rPr>
              <w:t>s</w:t>
            </w:r>
            <w:r w:rsidRPr="00C1007B">
              <w:rPr>
                <w:rFonts w:asciiTheme="minorHAnsi" w:hAnsiTheme="minorHAnsi" w:cstheme="minorHAnsi"/>
                <w:b/>
                <w:bCs/>
                <w:szCs w:val="24"/>
              </w:rPr>
              <w:t>:</w:t>
            </w:r>
          </w:p>
        </w:tc>
        <w:tc>
          <w:tcPr>
            <w:tcW w:w="4923" w:type="dxa"/>
            <w:tcBorders>
              <w:top w:val="single" w:sz="12" w:space="0" w:color="auto"/>
              <w:bottom w:val="single" w:sz="12" w:space="0" w:color="auto"/>
              <w:right w:val="single" w:sz="12" w:space="0" w:color="auto"/>
            </w:tcBorders>
          </w:tcPr>
          <w:p w14:paraId="1CD1C295" w14:textId="732AEDA5" w:rsidR="00F21A43" w:rsidRPr="00C1007B" w:rsidRDefault="003C07EA"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1</w:t>
            </w:r>
            <w:r w:rsidR="003A4BAE">
              <w:rPr>
                <w:rFonts w:asciiTheme="minorHAnsi" w:hAnsiTheme="minorHAnsi" w:cstheme="minorHAnsi"/>
                <w:szCs w:val="24"/>
              </w:rPr>
              <w:t xml:space="preserve"> </w:t>
            </w:r>
            <w:r w:rsidR="003A4BAE">
              <w:t>and 2</w:t>
            </w:r>
            <w:r w:rsidRPr="00C1007B">
              <w:rPr>
                <w:rFonts w:asciiTheme="minorHAnsi" w:hAnsiTheme="minorHAnsi" w:cstheme="minorHAnsi"/>
                <w:szCs w:val="24"/>
              </w:rPr>
              <w:t xml:space="preserve"> (covers 7</w:t>
            </w:r>
            <w:r w:rsidRPr="00C1007B">
              <w:rPr>
                <w:rFonts w:asciiTheme="minorHAnsi" w:hAnsiTheme="minorHAnsi" w:cstheme="minorHAnsi"/>
                <w:szCs w:val="24"/>
                <w:vertAlign w:val="superscript"/>
              </w:rPr>
              <w:t>th</w:t>
            </w:r>
            <w:r w:rsidRPr="00C1007B">
              <w:rPr>
                <w:rFonts w:asciiTheme="minorHAnsi" w:hAnsiTheme="minorHAnsi" w:cstheme="minorHAnsi"/>
                <w:szCs w:val="24"/>
              </w:rPr>
              <w:t>, 8</w:t>
            </w:r>
            <w:r w:rsidRPr="00C1007B">
              <w:rPr>
                <w:rFonts w:asciiTheme="minorHAnsi" w:hAnsiTheme="minorHAnsi" w:cstheme="minorHAnsi"/>
                <w:szCs w:val="24"/>
                <w:vertAlign w:val="superscript"/>
              </w:rPr>
              <w:t>th</w:t>
            </w:r>
            <w:r w:rsidRPr="00C1007B">
              <w:rPr>
                <w:rFonts w:asciiTheme="minorHAnsi" w:hAnsiTheme="minorHAnsi" w:cstheme="minorHAnsi"/>
                <w:szCs w:val="24"/>
              </w:rPr>
              <w:t xml:space="preserve"> and 14</w:t>
            </w:r>
            <w:r w:rsidRPr="00C1007B">
              <w:rPr>
                <w:rFonts w:asciiTheme="minorHAnsi" w:hAnsiTheme="minorHAnsi" w:cstheme="minorHAnsi"/>
                <w:szCs w:val="24"/>
                <w:vertAlign w:val="superscript"/>
              </w:rPr>
              <w:t>th</w:t>
            </w:r>
            <w:r w:rsidRPr="00C1007B">
              <w:rPr>
                <w:rFonts w:asciiTheme="minorHAnsi" w:hAnsiTheme="minorHAnsi" w:cstheme="minorHAnsi"/>
                <w:szCs w:val="24"/>
              </w:rPr>
              <w:t>, 15, 16</w:t>
            </w:r>
            <w:r w:rsidRPr="00C1007B">
              <w:rPr>
                <w:rFonts w:asciiTheme="minorHAnsi" w:hAnsiTheme="minorHAnsi" w:cstheme="minorHAnsi"/>
                <w:szCs w:val="24"/>
                <w:vertAlign w:val="superscript"/>
              </w:rPr>
              <w:t>th</w:t>
            </w:r>
            <w:r w:rsidRPr="00C1007B">
              <w:rPr>
                <w:rFonts w:asciiTheme="minorHAnsi" w:hAnsiTheme="minorHAnsi" w:cstheme="minorHAnsi"/>
                <w:szCs w:val="24"/>
              </w:rPr>
              <w:t xml:space="preserve"> October)</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25696E92" w14:textId="698D4C32" w:rsid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r w:rsidRPr="00C1007B">
        <w:rPr>
          <w:rFonts w:asciiTheme="minorHAnsi" w:hAnsiTheme="minorHAnsi" w:cstheme="minorHAnsi"/>
          <w:color w:val="000000"/>
          <w:szCs w:val="24"/>
          <w:bdr w:val="none" w:sz="0" w:space="0" w:color="auto" w:frame="1"/>
          <w:shd w:val="clear" w:color="auto" w:fill="FFFFFF"/>
        </w:rPr>
        <w:t>Monday 7</w:t>
      </w:r>
      <w:r w:rsidRPr="00C1007B">
        <w:rPr>
          <w:rFonts w:asciiTheme="minorHAnsi" w:hAnsiTheme="minorHAnsi" w:cstheme="minorHAnsi"/>
          <w:color w:val="000000"/>
          <w:szCs w:val="24"/>
          <w:bdr w:val="none" w:sz="0" w:space="0" w:color="auto" w:frame="1"/>
          <w:shd w:val="clear" w:color="auto" w:fill="FFFFFF"/>
          <w:vertAlign w:val="superscript"/>
        </w:rPr>
        <w:t>th</w:t>
      </w:r>
      <w:r w:rsidRPr="00C1007B">
        <w:rPr>
          <w:rFonts w:asciiTheme="minorHAnsi" w:hAnsiTheme="minorHAnsi" w:cstheme="minorHAnsi"/>
          <w:color w:val="000000"/>
          <w:szCs w:val="24"/>
          <w:bdr w:val="none" w:sz="0" w:space="0" w:color="auto" w:frame="1"/>
          <w:shd w:val="clear" w:color="auto" w:fill="FFFFFF"/>
        </w:rPr>
        <w:t xml:space="preserve"> October starts the beginning of the </w:t>
      </w:r>
      <w:r w:rsidR="003A4BAE">
        <w:rPr>
          <w:rFonts w:asciiTheme="minorHAnsi" w:hAnsiTheme="minorHAnsi" w:cstheme="minorHAnsi"/>
          <w:color w:val="000000"/>
          <w:szCs w:val="24"/>
          <w:bdr w:val="none" w:sz="0" w:space="0" w:color="auto" w:frame="1"/>
          <w:shd w:val="clear" w:color="auto" w:fill="FFFFFF"/>
        </w:rPr>
        <w:t xml:space="preserve">Primary </w:t>
      </w:r>
      <w:r w:rsidRPr="00C1007B">
        <w:rPr>
          <w:rFonts w:asciiTheme="minorHAnsi" w:hAnsiTheme="minorHAnsi" w:cstheme="minorHAnsi"/>
          <w:color w:val="000000"/>
          <w:szCs w:val="24"/>
          <w:bdr w:val="none" w:sz="0" w:space="0" w:color="auto" w:frame="1"/>
          <w:shd w:val="clear" w:color="auto" w:fill="FFFFFF"/>
        </w:rPr>
        <w:t>PGCE</w:t>
      </w:r>
      <w:r w:rsidR="003A4BAE">
        <w:rPr>
          <w:rFonts w:asciiTheme="minorHAnsi" w:hAnsiTheme="minorHAnsi" w:cstheme="minorHAnsi"/>
          <w:color w:val="000000"/>
          <w:szCs w:val="24"/>
          <w:bdr w:val="none" w:sz="0" w:space="0" w:color="auto" w:frame="1"/>
          <w:shd w:val="clear" w:color="auto" w:fill="FFFFFF"/>
        </w:rPr>
        <w:t xml:space="preserve"> (5-11)</w:t>
      </w:r>
      <w:r w:rsidRPr="00C1007B">
        <w:rPr>
          <w:rFonts w:asciiTheme="minorHAnsi" w:hAnsiTheme="minorHAnsi" w:cstheme="minorHAnsi"/>
          <w:color w:val="000000"/>
          <w:szCs w:val="24"/>
          <w:bdr w:val="none" w:sz="0" w:space="0" w:color="auto" w:frame="1"/>
          <w:shd w:val="clear" w:color="auto" w:fill="FFFFFF"/>
        </w:rPr>
        <w:t xml:space="preserve"> Introductory Professional Practice Placement for our trainees.  This placement is </w:t>
      </w:r>
      <w:r w:rsidR="003A4BAE">
        <w:rPr>
          <w:rFonts w:asciiTheme="minorHAnsi" w:hAnsiTheme="minorHAnsi" w:cstheme="minorHAnsi"/>
          <w:color w:val="000000"/>
          <w:szCs w:val="24"/>
          <w:bdr w:val="none" w:sz="0" w:space="0" w:color="auto" w:frame="1"/>
          <w:shd w:val="clear" w:color="auto" w:fill="FFFFFF"/>
        </w:rPr>
        <w:t>an 8</w:t>
      </w:r>
      <w:r w:rsidRPr="00C1007B">
        <w:rPr>
          <w:rFonts w:asciiTheme="minorHAnsi" w:hAnsiTheme="minorHAnsi" w:cstheme="minorHAnsi"/>
          <w:color w:val="000000"/>
          <w:szCs w:val="24"/>
          <w:bdr w:val="none" w:sz="0" w:space="0" w:color="auto" w:frame="1"/>
          <w:shd w:val="clear" w:color="auto" w:fill="FFFFFF"/>
        </w:rPr>
        <w:t xml:space="preserve">-week block, which begins with an induction week (spread over 2 weeks) where trainees can find out about key policies and procedures within the school setting.  </w:t>
      </w:r>
    </w:p>
    <w:p w14:paraId="56F15656" w14:textId="77777777" w:rsidR="00471060" w:rsidRDefault="00471060" w:rsidP="00C1007B">
      <w:pPr>
        <w:spacing w:after="0" w:line="240" w:lineRule="auto"/>
        <w:rPr>
          <w:rFonts w:asciiTheme="minorHAnsi" w:hAnsiTheme="minorHAnsi" w:cstheme="minorHAnsi"/>
          <w:color w:val="000000"/>
          <w:szCs w:val="24"/>
          <w:bdr w:val="none" w:sz="0" w:space="0" w:color="auto" w:frame="1"/>
          <w:shd w:val="clear" w:color="auto" w:fill="FFFFFF"/>
        </w:rPr>
      </w:pPr>
    </w:p>
    <w:p w14:paraId="629FB8B4" w14:textId="1997D037" w:rsidR="00471060" w:rsidRPr="00C1007B" w:rsidRDefault="00471060" w:rsidP="00C1007B">
      <w:pPr>
        <w:spacing w:after="0" w:line="240" w:lineRule="auto"/>
        <w:rPr>
          <w:rFonts w:asciiTheme="minorHAnsi" w:hAnsiTheme="minorHAnsi" w:cstheme="minorHAnsi"/>
          <w:color w:val="000000"/>
          <w:szCs w:val="24"/>
          <w:bdr w:val="none" w:sz="0" w:space="0" w:color="auto" w:frame="1"/>
          <w:shd w:val="clear" w:color="auto" w:fill="FFFFFF"/>
        </w:rPr>
      </w:pPr>
      <w:r>
        <w:rPr>
          <w:rFonts w:asciiTheme="minorHAnsi" w:hAnsiTheme="minorHAnsi" w:cstheme="minorHAnsi"/>
          <w:color w:val="000000"/>
          <w:szCs w:val="24"/>
          <w:bdr w:val="none" w:sz="0" w:space="0" w:color="auto" w:frame="1"/>
          <w:shd w:val="clear" w:color="auto" w:fill="FFFFFF"/>
        </w:rPr>
        <w:t xml:space="preserve">Trainees, Mentors and Link Tutors will be using </w:t>
      </w:r>
      <w:r w:rsidRPr="00471060">
        <w:rPr>
          <w:rFonts w:asciiTheme="minorHAnsi" w:hAnsiTheme="minorHAnsi" w:cstheme="minorHAnsi"/>
          <w:b/>
          <w:bCs/>
          <w:color w:val="000000"/>
          <w:szCs w:val="24"/>
          <w:bdr w:val="none" w:sz="0" w:space="0" w:color="auto" w:frame="1"/>
          <w:shd w:val="clear" w:color="auto" w:fill="FFFFFF"/>
        </w:rPr>
        <w:t>ABYASA</w:t>
      </w:r>
      <w:r>
        <w:rPr>
          <w:rFonts w:asciiTheme="minorHAnsi" w:hAnsiTheme="minorHAnsi" w:cstheme="minorHAnsi"/>
          <w:color w:val="000000"/>
          <w:szCs w:val="24"/>
          <w:bdr w:val="none" w:sz="0" w:space="0" w:color="auto" w:frame="1"/>
          <w:shd w:val="clear" w:color="auto" w:fill="FFFFFF"/>
        </w:rPr>
        <w:t xml:space="preserve"> for the completion of paperwork, i.e. Weekly Development Summary (WDS) and Lesson Observations (LO), together with confirming trainee attendance electronically, at the end of the Professional Practice (PP). </w:t>
      </w:r>
    </w:p>
    <w:p w14:paraId="58C39CA5"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0A032D40" w14:textId="2DDDE2FD" w:rsidR="00994DA1"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r w:rsidRPr="00C1007B">
        <w:rPr>
          <w:rFonts w:asciiTheme="minorHAnsi" w:hAnsiTheme="minorHAnsi" w:cstheme="minorHAnsi"/>
          <w:color w:val="000000"/>
          <w:szCs w:val="24"/>
          <w:bdr w:val="none" w:sz="0" w:space="0" w:color="auto" w:frame="1"/>
          <w:shd w:val="clear" w:color="auto" w:fill="FFFFFF"/>
        </w:rPr>
        <w:t>Please see below for key discussion points this week in relation to the trainee’s curriculum, and how this will impact upon the Weekly Development Summary meetings and completion of paperwork.</w:t>
      </w:r>
    </w:p>
    <w:p w14:paraId="74527ACD"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rsidRPr="00C1007B" w14:paraId="5F01D4A8" w14:textId="77777777" w:rsidTr="00994DA1">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1F0811">
        <w:trPr>
          <w:trHeight w:val="2655"/>
        </w:trPr>
        <w:tc>
          <w:tcPr>
            <w:tcW w:w="10966" w:type="dxa"/>
            <w:gridSpan w:val="2"/>
          </w:tcPr>
          <w:p w14:paraId="3C9EA2C1" w14:textId="3DF76584" w:rsidR="003C07EA" w:rsidRPr="00C1007B" w:rsidRDefault="003C07EA" w:rsidP="003C07EA">
            <w:pPr>
              <w:pStyle w:val="paragraph"/>
              <w:spacing w:before="0" w:beforeAutospacing="0" w:after="0" w:afterAutospacing="0"/>
              <w:textAlignment w:val="baseline"/>
              <w:rPr>
                <w:rFonts w:asciiTheme="minorHAnsi" w:hAnsiTheme="minorHAnsi" w:cstheme="minorHAnsi"/>
                <w:color w:val="000000" w:themeColor="text1"/>
              </w:rPr>
            </w:pPr>
            <w:r w:rsidRPr="00C1007B">
              <w:rPr>
                <w:rFonts w:asciiTheme="minorHAnsi" w:hAnsiTheme="minorHAnsi" w:cstheme="minorHAnsi"/>
                <w:b/>
                <w:bCs/>
                <w:color w:val="000000" w:themeColor="text1"/>
              </w:rPr>
              <w:t>HIGH EXPECTATIONS</w:t>
            </w:r>
            <w:r w:rsidRPr="00C1007B">
              <w:rPr>
                <w:rFonts w:asciiTheme="minorHAnsi" w:hAnsiTheme="minorHAnsi" w:cstheme="minorHAnsi"/>
                <w:color w:val="000000" w:themeColor="text1"/>
              </w:rPr>
              <w:t xml:space="preserve"> – </w:t>
            </w:r>
          </w:p>
          <w:p w14:paraId="05E6A092" w14:textId="3CEDCE89" w:rsidR="003A4BAE" w:rsidRPr="003A4BAE" w:rsidRDefault="003A4BAE" w:rsidP="003A4BAE">
            <w:pPr>
              <w:pStyle w:val="paragraph"/>
              <w:numPr>
                <w:ilvl w:val="0"/>
                <w:numId w:val="3"/>
              </w:numPr>
              <w:spacing w:before="0" w:beforeAutospacing="0" w:after="0"/>
              <w:textAlignment w:val="baseline"/>
              <w:rPr>
                <w:rFonts w:ascii="Calibri" w:eastAsia="Maiandra GD" w:hAnsi="Calibri" w:cs="Calibri"/>
                <w:color w:val="000000" w:themeColor="text1"/>
              </w:rPr>
            </w:pPr>
            <w:r w:rsidRPr="003A4BAE">
              <w:rPr>
                <w:rFonts w:ascii="Calibri" w:eastAsia="Maiandra GD" w:hAnsi="Calibri" w:cs="Calibri"/>
                <w:color w:val="000000" w:themeColor="text1"/>
              </w:rPr>
              <w:t xml:space="preserve">Understand the legal and moral responsibilities of teachers to provide a high-quality education and to make reasonable adjustments as required  </w:t>
            </w:r>
          </w:p>
          <w:p w14:paraId="5D71CDEB" w14:textId="623E8BD9" w:rsidR="003A4BAE" w:rsidRPr="003A4BAE" w:rsidRDefault="003A4BAE" w:rsidP="003A4BAE">
            <w:pPr>
              <w:pStyle w:val="paragraph"/>
              <w:numPr>
                <w:ilvl w:val="0"/>
                <w:numId w:val="3"/>
              </w:numPr>
              <w:spacing w:before="0" w:beforeAutospacing="0" w:after="0"/>
              <w:textAlignment w:val="baseline"/>
              <w:rPr>
                <w:rFonts w:ascii="Calibri" w:eastAsia="Maiandra GD" w:hAnsi="Calibri" w:cs="Calibri"/>
                <w:color w:val="000000" w:themeColor="text1"/>
              </w:rPr>
            </w:pPr>
            <w:r w:rsidRPr="003A4BAE">
              <w:rPr>
                <w:rFonts w:ascii="Calibri" w:eastAsia="Maiandra GD" w:hAnsi="Calibri" w:cs="Calibri"/>
                <w:color w:val="000000" w:themeColor="text1"/>
              </w:rPr>
              <w:t xml:space="preserve">Know that there are strategies and provision that can address inequalities and to implement them when on Professional Practice    </w:t>
            </w:r>
          </w:p>
          <w:p w14:paraId="4FEBE3D6" w14:textId="71F59E4A" w:rsidR="003A4BAE" w:rsidRPr="003A4BAE" w:rsidRDefault="003A4BAE" w:rsidP="003A4BAE">
            <w:pPr>
              <w:pStyle w:val="paragraph"/>
              <w:numPr>
                <w:ilvl w:val="0"/>
                <w:numId w:val="3"/>
              </w:numPr>
              <w:spacing w:before="0" w:beforeAutospacing="0" w:after="0" w:afterAutospacing="0"/>
              <w:textAlignment w:val="baseline"/>
              <w:rPr>
                <w:rFonts w:ascii="Calibri" w:eastAsia="Maiandra GD" w:hAnsi="Calibri" w:cs="Calibri"/>
                <w:color w:val="000000" w:themeColor="text1"/>
              </w:rPr>
            </w:pPr>
            <w:r w:rsidRPr="003A4BAE">
              <w:rPr>
                <w:rFonts w:ascii="Calibri" w:eastAsia="Maiandra GD" w:hAnsi="Calibri" w:cs="Calibri"/>
                <w:color w:val="000000" w:themeColor="text1"/>
              </w:rPr>
              <w:t xml:space="preserve">To identify whether the school has an EAL policy.  </w:t>
            </w:r>
          </w:p>
          <w:p w14:paraId="67B2D05A" w14:textId="77777777" w:rsidR="003A4BAE" w:rsidRDefault="003A4BAE" w:rsidP="003A4BAE">
            <w:pPr>
              <w:pStyle w:val="paragraph"/>
              <w:spacing w:before="0" w:beforeAutospacing="0" w:after="0" w:afterAutospacing="0"/>
              <w:textAlignment w:val="baseline"/>
              <w:rPr>
                <w:rFonts w:ascii="Maiandra GD" w:eastAsia="Maiandra GD" w:hAnsi="Maiandra GD" w:cs="Maiandra GD"/>
                <w:color w:val="244061" w:themeColor="accent1" w:themeShade="80"/>
                <w:sz w:val="14"/>
                <w:szCs w:val="14"/>
              </w:rPr>
            </w:pPr>
          </w:p>
          <w:p w14:paraId="7FAA768D" w14:textId="77777777" w:rsidR="003A4BAE" w:rsidRDefault="003A4BAE" w:rsidP="003A4BAE">
            <w:pPr>
              <w:pStyle w:val="paragraph"/>
              <w:spacing w:before="0" w:beforeAutospacing="0" w:after="0" w:afterAutospacing="0"/>
              <w:textAlignment w:val="baseline"/>
              <w:rPr>
                <w:rFonts w:ascii="Maiandra GD" w:eastAsia="Maiandra GD" w:hAnsi="Maiandra GD" w:cs="Maiandra GD"/>
                <w:color w:val="244061" w:themeColor="accent1" w:themeShade="80"/>
                <w:sz w:val="14"/>
                <w:szCs w:val="14"/>
              </w:rPr>
            </w:pPr>
          </w:p>
          <w:p w14:paraId="29913100" w14:textId="77777777" w:rsidR="003A4BAE" w:rsidRDefault="003A4BAE" w:rsidP="003A4BAE">
            <w:pPr>
              <w:pStyle w:val="paragraph"/>
              <w:spacing w:before="0" w:beforeAutospacing="0" w:after="0" w:afterAutospacing="0"/>
              <w:textAlignment w:val="baseline"/>
              <w:rPr>
                <w:rFonts w:ascii="Maiandra GD" w:eastAsia="Maiandra GD" w:hAnsi="Maiandra GD" w:cs="Maiandra GD"/>
                <w:color w:val="244061" w:themeColor="accent1" w:themeShade="80"/>
                <w:sz w:val="14"/>
                <w:szCs w:val="14"/>
              </w:rPr>
            </w:pPr>
          </w:p>
          <w:p w14:paraId="7436F8E0" w14:textId="3524325D" w:rsidR="003C07EA" w:rsidRPr="00C1007B" w:rsidRDefault="003C07EA" w:rsidP="003A4BAE">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HOW PUPILS LEARN, CLASSROOM PRACTICE &amp; ADAPTIVE TEACHNG</w:t>
            </w:r>
            <w:r w:rsidRPr="00C1007B">
              <w:rPr>
                <w:rFonts w:asciiTheme="minorHAnsi" w:eastAsiaTheme="minorEastAsia" w:hAnsiTheme="minorHAnsi" w:cstheme="minorHAnsi"/>
                <w:color w:val="000000" w:themeColor="text1"/>
              </w:rPr>
              <w:t xml:space="preserve"> – </w:t>
            </w:r>
          </w:p>
          <w:p w14:paraId="5026F0EA" w14:textId="77777777" w:rsidR="003A4BAE" w:rsidRPr="003A4BAE" w:rsidRDefault="003A4BAE" w:rsidP="003A4BAE">
            <w:pPr>
              <w:pStyle w:val="paragraph"/>
              <w:numPr>
                <w:ilvl w:val="0"/>
                <w:numId w:val="2"/>
              </w:numPr>
              <w:spacing w:after="0"/>
              <w:textAlignment w:val="baseline"/>
              <w:rPr>
                <w:rFonts w:asciiTheme="minorHAnsi" w:eastAsiaTheme="minorEastAsia" w:hAnsiTheme="minorHAnsi" w:cstheme="minorHAnsi"/>
                <w:color w:val="000000" w:themeColor="text1"/>
              </w:rPr>
            </w:pPr>
            <w:r w:rsidRPr="003A4BAE">
              <w:rPr>
                <w:rFonts w:asciiTheme="minorHAnsi" w:eastAsiaTheme="minorEastAsia" w:hAnsiTheme="minorHAnsi" w:cstheme="minorHAnsi"/>
                <w:color w:val="000000" w:themeColor="text1"/>
              </w:rPr>
              <w:t xml:space="preserve">To know how to provide targeted support to increase pupil success using well designed resources. </w:t>
            </w:r>
          </w:p>
          <w:p w14:paraId="5821D0D6" w14:textId="3CC1511D" w:rsidR="003A4BAE" w:rsidRPr="003A4BAE" w:rsidRDefault="003A4BAE" w:rsidP="003A4BAE">
            <w:pPr>
              <w:pStyle w:val="paragraph"/>
              <w:numPr>
                <w:ilvl w:val="0"/>
                <w:numId w:val="2"/>
              </w:numPr>
              <w:spacing w:after="0"/>
              <w:textAlignment w:val="baseline"/>
              <w:rPr>
                <w:rFonts w:asciiTheme="minorHAnsi" w:eastAsiaTheme="minorEastAsia" w:hAnsiTheme="minorHAnsi" w:cstheme="minorHAnsi"/>
                <w:color w:val="000000" w:themeColor="text1"/>
              </w:rPr>
            </w:pPr>
            <w:r w:rsidRPr="003A4BAE">
              <w:rPr>
                <w:rFonts w:asciiTheme="minorHAnsi" w:eastAsiaTheme="minorEastAsia" w:hAnsiTheme="minorHAnsi" w:cstheme="minorHAnsi"/>
                <w:color w:val="000000" w:themeColor="text1"/>
              </w:rPr>
              <w:t>Understand the role the teacher plays in supporting memory and effective learning.</w:t>
            </w:r>
          </w:p>
          <w:p w14:paraId="0058AA6A" w14:textId="579E6B97" w:rsidR="003A4BAE" w:rsidRPr="003A4BAE" w:rsidRDefault="003A4BAE" w:rsidP="003A4BAE">
            <w:pPr>
              <w:pStyle w:val="paragraph"/>
              <w:numPr>
                <w:ilvl w:val="0"/>
                <w:numId w:val="2"/>
              </w:numPr>
              <w:spacing w:after="0"/>
              <w:textAlignment w:val="baseline"/>
              <w:rPr>
                <w:rFonts w:asciiTheme="minorHAnsi" w:eastAsiaTheme="minorEastAsia" w:hAnsiTheme="minorHAnsi" w:cstheme="minorHAnsi"/>
                <w:color w:val="000000" w:themeColor="text1"/>
              </w:rPr>
            </w:pPr>
            <w:r w:rsidRPr="003A4BAE">
              <w:rPr>
                <w:rFonts w:asciiTheme="minorHAnsi" w:eastAsiaTheme="minorEastAsia" w:hAnsiTheme="minorHAnsi" w:cstheme="minorHAnsi"/>
                <w:color w:val="000000" w:themeColor="text1"/>
              </w:rPr>
              <w:t xml:space="preserve">Know the principles of planning. </w:t>
            </w:r>
          </w:p>
          <w:p w14:paraId="4CF1DA88" w14:textId="648E4998" w:rsidR="00C1007B" w:rsidRPr="00C1007B" w:rsidRDefault="003A4BAE" w:rsidP="003A4BAE">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3A4BAE">
              <w:rPr>
                <w:rFonts w:asciiTheme="minorHAnsi" w:eastAsiaTheme="minorEastAsia" w:hAnsiTheme="minorHAnsi" w:cstheme="minorHAnsi"/>
                <w:color w:val="000000" w:themeColor="text1"/>
              </w:rPr>
              <w:t xml:space="preserve"> </w:t>
            </w:r>
          </w:p>
          <w:p w14:paraId="0C99A9BF" w14:textId="77777777" w:rsidR="003A4BAE" w:rsidRDefault="003C07EA" w:rsidP="003A4BAE">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PROFESSIONAL BEHAVIOURS</w:t>
            </w:r>
            <w:r w:rsidRPr="00C1007B">
              <w:rPr>
                <w:rFonts w:asciiTheme="minorHAnsi" w:eastAsiaTheme="minorEastAsia" w:hAnsiTheme="minorHAnsi" w:cstheme="minorHAnsi"/>
                <w:color w:val="000000" w:themeColor="text1"/>
              </w:rPr>
              <w:t xml:space="preserve"> – </w:t>
            </w:r>
          </w:p>
          <w:p w14:paraId="2418B617" w14:textId="7E11BA55" w:rsidR="003A4BAE" w:rsidRPr="003A4BAE" w:rsidRDefault="003A4BAE" w:rsidP="003A4BAE">
            <w:pPr>
              <w:pStyle w:val="paragraph"/>
              <w:numPr>
                <w:ilvl w:val="0"/>
                <w:numId w:val="5"/>
              </w:numPr>
              <w:spacing w:before="0" w:beforeAutospacing="0" w:after="0" w:afterAutospacing="0"/>
              <w:textAlignment w:val="baseline"/>
              <w:rPr>
                <w:rFonts w:asciiTheme="minorHAnsi" w:eastAsiaTheme="minorEastAsia" w:hAnsiTheme="minorHAnsi" w:cstheme="minorHAnsi"/>
                <w:color w:val="000000" w:themeColor="text1"/>
              </w:rPr>
            </w:pPr>
            <w:r>
              <w:rPr>
                <w:rFonts w:asciiTheme="minorHAnsi" w:eastAsia="Arial" w:hAnsiTheme="minorHAnsi" w:cstheme="minorHAnsi"/>
                <w:color w:val="000000" w:themeColor="text1"/>
              </w:rPr>
              <w:t>K</w:t>
            </w:r>
            <w:r w:rsidRPr="003A4BAE">
              <w:rPr>
                <w:rFonts w:asciiTheme="minorHAnsi" w:eastAsia="Arial" w:hAnsiTheme="minorHAnsi" w:cstheme="minorHAnsi"/>
                <w:color w:val="000000" w:themeColor="text1"/>
              </w:rPr>
              <w:t xml:space="preserve">now who to contact with any safeguarding concerns and having a clear understanding of what sorts of behaviour, disclosures and incidents to report.  </w:t>
            </w:r>
          </w:p>
          <w:p w14:paraId="48AEE043" w14:textId="77777777" w:rsidR="003A4BAE" w:rsidRPr="003A4BAE" w:rsidRDefault="003A4BAE" w:rsidP="003A4BAE">
            <w:pPr>
              <w:pStyle w:val="ListParagraph"/>
              <w:numPr>
                <w:ilvl w:val="0"/>
                <w:numId w:val="4"/>
              </w:numPr>
              <w:spacing w:line="259" w:lineRule="auto"/>
              <w:rPr>
                <w:rFonts w:asciiTheme="minorHAnsi" w:eastAsia="Arial" w:hAnsiTheme="minorHAnsi" w:cstheme="minorHAnsi"/>
                <w:color w:val="000000" w:themeColor="text1"/>
                <w:szCs w:val="24"/>
              </w:rPr>
            </w:pPr>
            <w:r w:rsidRPr="003A4BAE">
              <w:rPr>
                <w:rFonts w:asciiTheme="minorHAnsi" w:eastAsia="Arial" w:hAnsiTheme="minorHAnsi" w:cstheme="minorHAnsi"/>
                <w:color w:val="000000" w:themeColor="text1"/>
              </w:rPr>
              <w:t xml:space="preserve">Understand that promoting the welfare of children is everyone’s responsibility </w:t>
            </w:r>
          </w:p>
          <w:p w14:paraId="77C51B5B" w14:textId="77777777" w:rsidR="003A4BAE" w:rsidRDefault="003A4BAE" w:rsidP="003A4BAE">
            <w:pPr>
              <w:spacing w:line="259" w:lineRule="auto"/>
              <w:rPr>
                <w:rStyle w:val="normaltextrun"/>
                <w:rFonts w:asciiTheme="minorHAnsi" w:eastAsia="Arial" w:hAnsiTheme="minorHAnsi" w:cstheme="minorHAnsi"/>
                <w:b/>
                <w:bCs/>
                <w:color w:val="000000" w:themeColor="text1"/>
                <w:szCs w:val="24"/>
              </w:rPr>
            </w:pPr>
          </w:p>
          <w:p w14:paraId="57BD3275" w14:textId="1A87D306" w:rsidR="00994DA1" w:rsidRPr="003A4BAE" w:rsidRDefault="00C1007B" w:rsidP="003A4BAE">
            <w:pPr>
              <w:spacing w:line="259" w:lineRule="auto"/>
              <w:rPr>
                <w:rFonts w:asciiTheme="minorHAnsi" w:eastAsia="Arial" w:hAnsiTheme="minorHAnsi" w:cstheme="minorHAnsi"/>
                <w:color w:val="000000" w:themeColor="text1"/>
                <w:szCs w:val="24"/>
              </w:rPr>
            </w:pPr>
            <w:r w:rsidRPr="003A4BAE">
              <w:rPr>
                <w:rStyle w:val="normaltextrun"/>
                <w:rFonts w:asciiTheme="minorHAnsi" w:eastAsia="Arial" w:hAnsiTheme="minorHAnsi" w:cstheme="minorHAnsi"/>
                <w:b/>
                <w:bCs/>
                <w:color w:val="000000" w:themeColor="text1"/>
                <w:szCs w:val="24"/>
              </w:rPr>
              <w:t>ASSESSMENT</w:t>
            </w:r>
            <w:r w:rsidRPr="003A4BAE">
              <w:rPr>
                <w:rStyle w:val="normaltextrun"/>
                <w:rFonts w:asciiTheme="minorHAnsi" w:eastAsia="Arial" w:hAnsiTheme="minorHAnsi" w:cstheme="minorHAnsi"/>
                <w:color w:val="000000" w:themeColor="text1"/>
                <w:szCs w:val="24"/>
              </w:rPr>
              <w:t xml:space="preserve"> – a focus for week </w:t>
            </w:r>
            <w:r w:rsidR="003A4BAE">
              <w:rPr>
                <w:rStyle w:val="normaltextrun"/>
                <w:rFonts w:asciiTheme="minorHAnsi" w:eastAsia="Arial" w:hAnsiTheme="minorHAnsi" w:cstheme="minorHAnsi"/>
                <w:color w:val="000000" w:themeColor="text1"/>
                <w:szCs w:val="24"/>
              </w:rPr>
              <w:t>3</w:t>
            </w:r>
            <w:r w:rsidR="003C07EA" w:rsidRPr="003A4BAE">
              <w:rPr>
                <w:rStyle w:val="normaltextrun"/>
                <w:rFonts w:asciiTheme="minorHAnsi" w:eastAsia="Arial" w:hAnsiTheme="minorHAnsi" w:cstheme="minorHAnsi"/>
                <w:color w:val="000000" w:themeColor="text1"/>
                <w:szCs w:val="24"/>
              </w:rPr>
              <w:br/>
            </w:r>
          </w:p>
        </w:tc>
      </w:tr>
      <w:tr w:rsidR="00994DA1" w:rsidRPr="00C1007B" w14:paraId="00501F7E" w14:textId="77777777" w:rsidTr="00994DA1">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Mentor Focus:</w:t>
            </w:r>
          </w:p>
        </w:tc>
      </w:tr>
      <w:tr w:rsidR="00994DA1" w:rsidRPr="00C1007B" w14:paraId="7CE8A7CB" w14:textId="77777777" w:rsidTr="001F0811">
        <w:trPr>
          <w:trHeight w:val="2457"/>
        </w:trPr>
        <w:tc>
          <w:tcPr>
            <w:tcW w:w="10966" w:type="dxa"/>
            <w:gridSpan w:val="2"/>
          </w:tcPr>
          <w:p w14:paraId="0E7FA498" w14:textId="0091B578" w:rsidR="003C07EA" w:rsidRPr="00C1007B" w:rsidRDefault="003C07EA" w:rsidP="003C07EA">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 xml:space="preserve">Trainees will be asking lots of questions this week related to the curriculum and how children learn effectively within the setting.  They will be making links between their university-based learning and how this new knowledge will impact upon their teaching practice.  </w:t>
            </w:r>
          </w:p>
          <w:p w14:paraId="5EDE02CD" w14:textId="77777777" w:rsidR="003C07EA" w:rsidRPr="00C1007B" w:rsidRDefault="003C07EA" w:rsidP="003C07EA">
            <w:pPr>
              <w:pStyle w:val="xxxmsonormal"/>
              <w:shd w:val="clear" w:color="auto" w:fill="FFFFFF"/>
              <w:spacing w:before="0" w:beforeAutospacing="0" w:after="0" w:afterAutospacing="0"/>
              <w:rPr>
                <w:rFonts w:asciiTheme="minorHAnsi" w:hAnsiTheme="minorHAnsi" w:cstheme="minorHAnsi"/>
                <w:color w:val="242424"/>
              </w:rPr>
            </w:pPr>
          </w:p>
          <w:p w14:paraId="0C461891" w14:textId="77777777" w:rsidR="00C1007B" w:rsidRPr="00C1007B" w:rsidRDefault="003C07EA" w:rsidP="003C07EA">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 xml:space="preserve">Mentors will be familiarising themselves with the procedures and paperwork required for this placement.  They will also be explicit and specific about how to observe, assess and plan for effective learning opportunities for a range of early years learners. </w:t>
            </w:r>
          </w:p>
          <w:p w14:paraId="602D5ADF" w14:textId="77777777" w:rsidR="00C1007B" w:rsidRPr="00C1007B" w:rsidRDefault="00C1007B" w:rsidP="003C07EA">
            <w:pPr>
              <w:pStyle w:val="xxxmsonormal"/>
              <w:shd w:val="clear" w:color="auto" w:fill="FFFFFF"/>
              <w:spacing w:before="0" w:beforeAutospacing="0" w:after="0" w:afterAutospacing="0"/>
              <w:rPr>
                <w:rFonts w:asciiTheme="minorHAnsi" w:hAnsiTheme="minorHAnsi" w:cstheme="minorHAnsi"/>
                <w:color w:val="242424"/>
              </w:rPr>
            </w:pPr>
          </w:p>
          <w:p w14:paraId="4703F427" w14:textId="613D304A" w:rsidR="00C1007B" w:rsidRPr="003A4BAE" w:rsidRDefault="00C3217A" w:rsidP="00C1007B">
            <w:pPr>
              <w:pStyle w:val="xxmsolistparagraph"/>
              <w:shd w:val="clear" w:color="auto" w:fill="FFFFFF"/>
              <w:spacing w:before="0" w:beforeAutospacing="0" w:after="0" w:afterAutospacing="0"/>
              <w:textAlignment w:val="baseline"/>
              <w:rPr>
                <w:rFonts w:asciiTheme="minorHAnsi" w:hAnsiTheme="minorHAnsi" w:cstheme="minorHAnsi"/>
                <w:color w:val="242424"/>
                <w:u w:val="single"/>
              </w:rPr>
            </w:pPr>
            <w:r>
              <w:rPr>
                <w:rFonts w:asciiTheme="minorHAnsi" w:hAnsiTheme="minorHAnsi" w:cstheme="minorHAnsi"/>
                <w:b/>
                <w:bCs/>
                <w:color w:val="242424"/>
              </w:rPr>
              <w:t xml:space="preserve">ABYASA </w:t>
            </w:r>
            <w:r>
              <w:rPr>
                <w:rFonts w:asciiTheme="minorHAnsi" w:hAnsiTheme="minorHAnsi" w:cstheme="minorHAnsi"/>
                <w:color w:val="242424"/>
              </w:rPr>
              <w:t>–</w:t>
            </w:r>
            <w:r w:rsidR="00C1007B" w:rsidRPr="00C1007B">
              <w:rPr>
                <w:rFonts w:asciiTheme="minorHAnsi" w:hAnsiTheme="minorHAnsi" w:cstheme="minorHAnsi"/>
                <w:color w:val="242424"/>
              </w:rPr>
              <w:t xml:space="preserve"> </w:t>
            </w:r>
            <w:r>
              <w:rPr>
                <w:rFonts w:asciiTheme="minorHAnsi" w:hAnsiTheme="minorHAnsi" w:cstheme="minorHAnsi"/>
                <w:color w:val="242424"/>
              </w:rPr>
              <w:t>This</w:t>
            </w:r>
            <w:r w:rsidR="00C1007B" w:rsidRPr="00C1007B">
              <w:rPr>
                <w:rFonts w:asciiTheme="minorHAnsi" w:hAnsiTheme="minorHAnsi" w:cstheme="minorHAnsi"/>
                <w:color w:val="242424"/>
              </w:rPr>
              <w:t xml:space="preserve"> is an online platform, housing information, documentation, and resources for mentors (and trainees/link tutors) to help support an effective professional practice experience.</w:t>
            </w:r>
            <w:r w:rsidR="00337B21">
              <w:rPr>
                <w:rFonts w:asciiTheme="minorHAnsi" w:hAnsiTheme="minorHAnsi" w:cstheme="minorHAnsi"/>
                <w:color w:val="242424"/>
              </w:rPr>
              <w:t xml:space="preserve"> Abyasa will become available w/c 7</w:t>
            </w:r>
            <w:r w:rsidR="00337B21" w:rsidRPr="00337B21">
              <w:rPr>
                <w:rFonts w:asciiTheme="minorHAnsi" w:hAnsiTheme="minorHAnsi" w:cstheme="minorHAnsi"/>
                <w:color w:val="242424"/>
                <w:vertAlign w:val="superscript"/>
              </w:rPr>
              <w:t>th</w:t>
            </w:r>
            <w:r w:rsidR="00337B21">
              <w:rPr>
                <w:rFonts w:asciiTheme="minorHAnsi" w:hAnsiTheme="minorHAnsi" w:cstheme="minorHAnsi"/>
                <w:color w:val="242424"/>
              </w:rPr>
              <w:t xml:space="preserve"> October.</w:t>
            </w:r>
          </w:p>
          <w:p w14:paraId="7DBA5F85" w14:textId="77777777" w:rsidR="00C1007B" w:rsidRPr="00C1007B" w:rsidRDefault="00C1007B" w:rsidP="00C1007B">
            <w:pPr>
              <w:pStyle w:val="xxmsolistparagraph"/>
              <w:shd w:val="clear" w:color="auto" w:fill="FFFFFF"/>
              <w:spacing w:before="0" w:beforeAutospacing="0" w:after="0" w:afterAutospacing="0"/>
              <w:textAlignment w:val="baseline"/>
              <w:rPr>
                <w:rFonts w:asciiTheme="minorHAnsi" w:hAnsiTheme="minorHAnsi" w:cstheme="minorHAnsi"/>
                <w:color w:val="242424"/>
              </w:rPr>
            </w:pPr>
          </w:p>
          <w:p w14:paraId="71EF6BF9" w14:textId="22E696A5" w:rsidR="00C1007B" w:rsidRPr="00C1007B" w:rsidRDefault="00C1007B" w:rsidP="00C1007B">
            <w:pPr>
              <w:shd w:val="clear" w:color="auto" w:fill="FFFFFF"/>
              <w:spacing w:after="360" w:line="240" w:lineRule="auto"/>
              <w:rPr>
                <w:rFonts w:asciiTheme="minorHAnsi" w:eastAsia="Times New Roman" w:hAnsiTheme="minorHAnsi" w:cstheme="minorHAnsi"/>
                <w:color w:val="575756"/>
                <w:kern w:val="0"/>
                <w:szCs w:val="24"/>
                <w:lang w:eastAsia="en-GB"/>
                <w14:ligatures w14:val="none"/>
              </w:rPr>
            </w:pPr>
            <w:r w:rsidRPr="00C1007B">
              <w:rPr>
                <w:rFonts w:asciiTheme="minorHAnsi" w:eastAsia="Times New Roman" w:hAnsiTheme="minorHAnsi" w:cstheme="minorHAnsi"/>
                <w:color w:val="575756"/>
                <w:kern w:val="0"/>
                <w:szCs w:val="24"/>
                <w:lang w:eastAsia="en-GB"/>
                <w14:ligatures w14:val="none"/>
              </w:rPr>
              <w:t>Edge Hill offers a comprehensive and flexible package of </w:t>
            </w:r>
            <w:hyperlink r:id="rId10" w:history="1">
              <w:r w:rsidRPr="00C1007B">
                <w:rPr>
                  <w:rFonts w:asciiTheme="minorHAnsi" w:eastAsia="Times New Roman" w:hAnsiTheme="minorHAnsi" w:cstheme="minorHAnsi"/>
                  <w:color w:val="2C313F"/>
                  <w:kern w:val="0"/>
                  <w:szCs w:val="24"/>
                  <w:lang w:eastAsia="en-GB"/>
                  <w14:ligatures w14:val="none"/>
                </w:rPr>
                <w:t>mentor training and development opportunities</w:t>
              </w:r>
            </w:hyperlink>
            <w:r w:rsidRPr="00C1007B">
              <w:rPr>
                <w:rFonts w:asciiTheme="minorHAnsi" w:eastAsia="Times New Roman" w:hAnsiTheme="minorHAnsi" w:cstheme="minorHAnsi"/>
                <w:color w:val="575756"/>
                <w:kern w:val="0"/>
                <w:szCs w:val="24"/>
                <w:lang w:eastAsia="en-GB"/>
                <w14:ligatures w14:val="none"/>
              </w:rPr>
              <w:t xml:space="preserve">. The University Core Mentor Training for 2024/25 is comprised of three elements. </w:t>
            </w:r>
          </w:p>
          <w:p w14:paraId="090E16A3" w14:textId="77777777" w:rsidR="00C1007B" w:rsidRPr="00C1007B" w:rsidRDefault="00C1007B" w:rsidP="00C1007B">
            <w:pPr>
              <w:numPr>
                <w:ilvl w:val="0"/>
                <w:numId w:val="1"/>
              </w:numPr>
              <w:shd w:val="clear" w:color="auto" w:fill="FFFFFF"/>
              <w:spacing w:before="100" w:beforeAutospacing="1" w:after="100" w:afterAutospacing="1" w:line="240" w:lineRule="auto"/>
              <w:ind w:left="1170" w:right="450"/>
              <w:rPr>
                <w:rFonts w:asciiTheme="minorHAnsi" w:eastAsia="Times New Roman" w:hAnsiTheme="minorHAnsi" w:cstheme="minorHAnsi"/>
                <w:color w:val="575756"/>
                <w:kern w:val="0"/>
                <w:szCs w:val="24"/>
                <w:lang w:eastAsia="en-GB"/>
                <w14:ligatures w14:val="none"/>
              </w:rPr>
            </w:pPr>
            <w:r w:rsidRPr="00C1007B">
              <w:rPr>
                <w:rFonts w:asciiTheme="minorHAnsi" w:eastAsia="Times New Roman" w:hAnsiTheme="minorHAnsi" w:cstheme="minorHAnsi"/>
                <w:color w:val="575756"/>
                <w:kern w:val="0"/>
                <w:szCs w:val="24"/>
                <w:lang w:eastAsia="en-GB"/>
                <w14:ligatures w14:val="none"/>
              </w:rPr>
              <w:t>Core mentor development (Online units 1 and 2)</w:t>
            </w:r>
          </w:p>
          <w:p w14:paraId="7C872355" w14:textId="77777777" w:rsidR="00C1007B" w:rsidRPr="00C1007B" w:rsidRDefault="00C1007B" w:rsidP="00C1007B">
            <w:pPr>
              <w:numPr>
                <w:ilvl w:val="0"/>
                <w:numId w:val="1"/>
              </w:numPr>
              <w:shd w:val="clear" w:color="auto" w:fill="FFFFFF"/>
              <w:spacing w:before="100" w:beforeAutospacing="1" w:after="100" w:afterAutospacing="1" w:line="240" w:lineRule="auto"/>
              <w:ind w:left="1170" w:right="450"/>
              <w:rPr>
                <w:rFonts w:asciiTheme="minorHAnsi" w:eastAsia="Times New Roman" w:hAnsiTheme="minorHAnsi" w:cstheme="minorHAnsi"/>
                <w:color w:val="575756"/>
                <w:kern w:val="0"/>
                <w:szCs w:val="24"/>
                <w:lang w:eastAsia="en-GB"/>
                <w14:ligatures w14:val="none"/>
              </w:rPr>
            </w:pPr>
            <w:r w:rsidRPr="00C1007B">
              <w:rPr>
                <w:rFonts w:asciiTheme="minorHAnsi" w:eastAsia="Times New Roman" w:hAnsiTheme="minorHAnsi" w:cstheme="minorHAnsi"/>
                <w:color w:val="575756"/>
                <w:kern w:val="0"/>
                <w:szCs w:val="24"/>
                <w:lang w:eastAsia="en-GB"/>
                <w14:ligatures w14:val="none"/>
              </w:rPr>
              <w:t>Phase/subject specific mentor development</w:t>
            </w:r>
          </w:p>
          <w:p w14:paraId="2E4A8BF9" w14:textId="3D52ADB1" w:rsidR="00994DA1" w:rsidRPr="00C1007B" w:rsidRDefault="00C1007B" w:rsidP="00C1007B">
            <w:pPr>
              <w:numPr>
                <w:ilvl w:val="0"/>
                <w:numId w:val="1"/>
              </w:numPr>
              <w:shd w:val="clear" w:color="auto" w:fill="FFFFFF"/>
              <w:spacing w:before="100" w:beforeAutospacing="1" w:after="100" w:afterAutospacing="1" w:line="240" w:lineRule="auto"/>
              <w:ind w:left="1170" w:right="450"/>
              <w:rPr>
                <w:rFonts w:asciiTheme="minorHAnsi" w:eastAsia="Times New Roman" w:hAnsiTheme="minorHAnsi" w:cstheme="minorHAnsi"/>
                <w:color w:val="575756"/>
                <w:kern w:val="0"/>
                <w:szCs w:val="24"/>
                <w:lang w:eastAsia="en-GB"/>
                <w14:ligatures w14:val="none"/>
              </w:rPr>
            </w:pPr>
            <w:r w:rsidRPr="00C1007B">
              <w:rPr>
                <w:rFonts w:asciiTheme="minorHAnsi" w:eastAsia="Times New Roman" w:hAnsiTheme="minorHAnsi" w:cstheme="minorHAnsi"/>
                <w:color w:val="575756"/>
                <w:kern w:val="0"/>
                <w:szCs w:val="24"/>
                <w:lang w:eastAsia="en-GB"/>
                <w14:ligatures w14:val="none"/>
              </w:rPr>
              <w:t>Self- study mentor development</w:t>
            </w:r>
          </w:p>
        </w:tc>
      </w:tr>
      <w:tr w:rsidR="00994DA1" w:rsidRPr="00C1007B" w14:paraId="651385F9" w14:textId="06C0C143" w:rsidTr="00994DA1">
        <w:trPr>
          <w:trHeight w:val="241"/>
        </w:trPr>
        <w:tc>
          <w:tcPr>
            <w:tcW w:w="5250"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716"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1F0811">
        <w:trPr>
          <w:trHeight w:val="2302"/>
        </w:trPr>
        <w:tc>
          <w:tcPr>
            <w:tcW w:w="5250" w:type="dxa"/>
          </w:tcPr>
          <w:p w14:paraId="431DE343" w14:textId="62B62925" w:rsidR="001F0811" w:rsidRPr="00C1007B" w:rsidRDefault="003A4BAE"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Week 1 &amp; 2</w:t>
            </w:r>
            <w:r w:rsidR="00C1007B" w:rsidRPr="00C1007B">
              <w:rPr>
                <w:rFonts w:asciiTheme="minorHAnsi" w:hAnsiTheme="minorHAnsi" w:cstheme="minorHAnsi"/>
                <w:szCs w:val="24"/>
              </w:rPr>
              <w:t xml:space="preserve"> will be a perfect opportunity for trainees to </w:t>
            </w:r>
            <w:r w:rsidR="00C1007B">
              <w:rPr>
                <w:rFonts w:asciiTheme="minorHAnsi" w:hAnsiTheme="minorHAnsi" w:cstheme="minorHAnsi"/>
                <w:szCs w:val="24"/>
              </w:rPr>
              <w:t>interact with</w:t>
            </w:r>
            <w:r w:rsidR="00C1007B" w:rsidRPr="00C1007B">
              <w:rPr>
                <w:rFonts w:asciiTheme="minorHAnsi" w:hAnsiTheme="minorHAnsi" w:cstheme="minorHAnsi"/>
                <w:szCs w:val="24"/>
              </w:rPr>
              <w:t xml:space="preserve"> ‘expert colleagues</w:t>
            </w:r>
            <w:r w:rsidR="008D14DE">
              <w:rPr>
                <w:rFonts w:asciiTheme="minorHAnsi" w:hAnsiTheme="minorHAnsi" w:cstheme="minorHAnsi"/>
                <w:szCs w:val="24"/>
              </w:rPr>
              <w:t>’, especially practice which relates to addressing inequalities, EAL teaching, additional resources and targeted support.</w:t>
            </w:r>
            <w:r w:rsidR="00C3217A">
              <w:rPr>
                <w:rFonts w:asciiTheme="minorHAnsi" w:hAnsiTheme="minorHAnsi" w:cstheme="minorHAnsi"/>
                <w:szCs w:val="24"/>
              </w:rPr>
              <w:t xml:space="preserve">  Please also introduce the trainee to the Designated Safeguarding lead. </w:t>
            </w:r>
          </w:p>
        </w:tc>
        <w:tc>
          <w:tcPr>
            <w:tcW w:w="5716" w:type="dxa"/>
          </w:tcPr>
          <w:p w14:paraId="6CA4690A" w14:textId="0BCFFD42" w:rsidR="001F0811" w:rsidRPr="00C1007B" w:rsidRDefault="008D14DE" w:rsidP="00994DA1">
            <w:pPr>
              <w:pStyle w:val="NoSpacing"/>
              <w:spacing w:line="276" w:lineRule="auto"/>
              <w:ind w:right="-23"/>
              <w:rPr>
                <w:rFonts w:asciiTheme="minorHAnsi" w:hAnsiTheme="minorHAnsi" w:cstheme="minorHAnsi"/>
                <w:szCs w:val="24"/>
              </w:rPr>
            </w:pPr>
            <w:r>
              <w:rPr>
                <w:rFonts w:asciiTheme="minorHAnsi" w:hAnsiTheme="minorHAnsi" w:cstheme="minorHAnsi"/>
                <w:i/>
                <w:iCs/>
                <w:szCs w:val="24"/>
              </w:rPr>
              <w:t>Initial Teacher Training and Early Career Framework</w:t>
            </w:r>
            <w:r w:rsidR="008C357D">
              <w:rPr>
                <w:rFonts w:asciiTheme="minorHAnsi" w:hAnsiTheme="minorHAnsi" w:cstheme="minorHAnsi"/>
                <w:szCs w:val="24"/>
              </w:rPr>
              <w:t xml:space="preserve"> </w:t>
            </w:r>
            <w:r w:rsidR="00AE1B41">
              <w:rPr>
                <w:rFonts w:asciiTheme="minorHAnsi" w:hAnsiTheme="minorHAnsi" w:cstheme="minorHAnsi"/>
                <w:szCs w:val="24"/>
              </w:rPr>
              <w:t>–</w:t>
            </w:r>
            <w:r w:rsidR="008C357D">
              <w:rPr>
                <w:rFonts w:asciiTheme="minorHAnsi" w:hAnsiTheme="minorHAnsi" w:cstheme="minorHAnsi"/>
                <w:szCs w:val="24"/>
              </w:rPr>
              <w:t xml:space="preserve"> 2024</w:t>
            </w:r>
            <w:r w:rsidR="00AE1B41">
              <w:rPr>
                <w:rFonts w:asciiTheme="minorHAnsi" w:hAnsiTheme="minorHAnsi" w:cstheme="minorHAnsi"/>
                <w:szCs w:val="24"/>
              </w:rPr>
              <w:t xml:space="preserve"> (DfE)</w:t>
            </w:r>
          </w:p>
        </w:tc>
      </w:tr>
      <w:tr w:rsidR="001F0811" w:rsidRPr="00C1007B" w14:paraId="43DBE0D1" w14:textId="77777777" w:rsidTr="001F0811">
        <w:trPr>
          <w:trHeight w:val="407"/>
        </w:trPr>
        <w:tc>
          <w:tcPr>
            <w:tcW w:w="525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5716"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1F0811">
        <w:trPr>
          <w:trHeight w:val="2097"/>
        </w:trPr>
        <w:tc>
          <w:tcPr>
            <w:tcW w:w="5250" w:type="dxa"/>
          </w:tcPr>
          <w:p w14:paraId="184437DC" w14:textId="77777777" w:rsidR="00C1007B" w:rsidRPr="00C1007B" w:rsidRDefault="00C1007B" w:rsidP="00C1007B">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r w:rsidRPr="00C1007B">
              <w:rPr>
                <w:rStyle w:val="xxcontentpasted1"/>
                <w:rFonts w:asciiTheme="minorHAnsi" w:hAnsiTheme="minorHAnsi" w:cstheme="minorHAnsi"/>
                <w:color w:val="000000"/>
                <w:bdr w:val="none" w:sz="0" w:space="0" w:color="auto" w:frame="1"/>
              </w:rPr>
              <w:t>Will be introducing themselves to the trainee and the mentors to ensure that there is an effective working partnership throughout this placement.  They will also be the first point of contact for questions, queries, and advice, regarding trainee progress and outcomes.</w:t>
            </w:r>
          </w:p>
          <w:p w14:paraId="738FB08C" w14:textId="77777777" w:rsidR="00994DA1" w:rsidRPr="00C1007B" w:rsidRDefault="00994DA1" w:rsidP="00994DA1">
            <w:pPr>
              <w:pStyle w:val="NoSpacing"/>
              <w:spacing w:line="276" w:lineRule="auto"/>
              <w:ind w:right="-23"/>
              <w:rPr>
                <w:rFonts w:asciiTheme="minorHAnsi" w:hAnsiTheme="minorHAnsi" w:cstheme="minorHAnsi"/>
                <w:szCs w:val="24"/>
              </w:rPr>
            </w:pPr>
          </w:p>
        </w:tc>
        <w:tc>
          <w:tcPr>
            <w:tcW w:w="5716" w:type="dxa"/>
          </w:tcPr>
          <w:p w14:paraId="109E3E50" w14:textId="54D3CA46" w:rsidR="00994DA1" w:rsidRPr="00C1007B" w:rsidRDefault="00C1007B"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Use this week to </w:t>
            </w:r>
            <w:r w:rsidR="008C357D">
              <w:rPr>
                <w:rFonts w:asciiTheme="minorHAnsi" w:hAnsiTheme="minorHAnsi" w:cstheme="minorHAnsi"/>
                <w:szCs w:val="24"/>
              </w:rPr>
              <w:t>familiarise</w:t>
            </w:r>
            <w:r>
              <w:rPr>
                <w:rFonts w:asciiTheme="minorHAnsi" w:hAnsiTheme="minorHAnsi" w:cstheme="minorHAnsi"/>
                <w:szCs w:val="24"/>
              </w:rPr>
              <w:t xml:space="preserve"> yourself with the children, </w:t>
            </w:r>
            <w:r w:rsidR="008D14DE">
              <w:rPr>
                <w:rFonts w:asciiTheme="minorHAnsi" w:hAnsiTheme="minorHAnsi" w:cstheme="minorHAnsi"/>
                <w:szCs w:val="24"/>
              </w:rPr>
              <w:t xml:space="preserve">learn their names, research and follow </w:t>
            </w:r>
            <w:r>
              <w:rPr>
                <w:rFonts w:asciiTheme="minorHAnsi" w:hAnsiTheme="minorHAnsi" w:cstheme="minorHAnsi"/>
                <w:szCs w:val="24"/>
              </w:rPr>
              <w:t xml:space="preserve">the </w:t>
            </w:r>
            <w:r w:rsidR="008D14DE">
              <w:rPr>
                <w:rFonts w:asciiTheme="minorHAnsi" w:hAnsiTheme="minorHAnsi" w:cstheme="minorHAnsi"/>
                <w:szCs w:val="24"/>
              </w:rPr>
              <w:t xml:space="preserve">school </w:t>
            </w:r>
            <w:r>
              <w:rPr>
                <w:rFonts w:asciiTheme="minorHAnsi" w:hAnsiTheme="minorHAnsi" w:cstheme="minorHAnsi"/>
                <w:szCs w:val="24"/>
              </w:rPr>
              <w:t xml:space="preserve">policies and </w:t>
            </w:r>
            <w:r w:rsidR="008D14DE">
              <w:rPr>
                <w:rFonts w:asciiTheme="minorHAnsi" w:hAnsiTheme="minorHAnsi" w:cstheme="minorHAnsi"/>
                <w:szCs w:val="24"/>
              </w:rPr>
              <w:t>begin to develop relationships with school-based staff</w:t>
            </w:r>
            <w:r>
              <w:rPr>
                <w:rFonts w:asciiTheme="minorHAnsi" w:hAnsiTheme="minorHAnsi" w:cstheme="minorHAnsi"/>
                <w:szCs w:val="24"/>
              </w:rPr>
              <w:t xml:space="preserve">. </w:t>
            </w:r>
            <w:r w:rsidR="00C3217A">
              <w:rPr>
                <w:rFonts w:asciiTheme="minorHAnsi" w:hAnsiTheme="minorHAnsi" w:cstheme="minorHAnsi"/>
                <w:szCs w:val="24"/>
              </w:rPr>
              <w:t>Ensure that you know who the Designated Safeguarding Lead is in your setting. Speak with your mentor about the principles of planning and resource design and make the most of</w:t>
            </w:r>
            <w:r w:rsidR="008D14DE">
              <w:rPr>
                <w:rFonts w:asciiTheme="minorHAnsi" w:hAnsiTheme="minorHAnsi" w:cstheme="minorHAnsi"/>
                <w:szCs w:val="24"/>
              </w:rPr>
              <w:t xml:space="preserve"> any available opportunities to observe staff in relation to the Week 1 and 2 curriculum expectations</w:t>
            </w:r>
            <w:r w:rsidR="00C3217A">
              <w:rPr>
                <w:rFonts w:asciiTheme="minorHAnsi" w:hAnsiTheme="minorHAnsi" w:cstheme="minorHAnsi"/>
                <w:szCs w:val="24"/>
              </w:rPr>
              <w:t xml:space="preserve">, </w:t>
            </w:r>
            <w:r>
              <w:rPr>
                <w:rFonts w:asciiTheme="minorHAnsi" w:hAnsiTheme="minorHAnsi" w:cstheme="minorHAnsi"/>
                <w:szCs w:val="24"/>
              </w:rPr>
              <w:t xml:space="preserve"> </w:t>
            </w:r>
          </w:p>
        </w:tc>
      </w:tr>
    </w:tbl>
    <w:p w14:paraId="00B45BF0" w14:textId="77777777" w:rsidR="008C357D" w:rsidRDefault="008C357D" w:rsidP="008C357D">
      <w:pPr>
        <w:spacing w:after="0" w:line="240" w:lineRule="auto"/>
        <w:rPr>
          <w:rFonts w:asciiTheme="minorHAnsi" w:hAnsiTheme="minorHAnsi" w:cstheme="minorHAnsi"/>
          <w:szCs w:val="24"/>
        </w:rPr>
      </w:pPr>
    </w:p>
    <w:p w14:paraId="52C16241" w14:textId="5177044C"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sidRPr="00C475B7">
        <w:rPr>
          <w:rFonts w:asciiTheme="minorHAnsi" w:eastAsia="Times New Roman" w:hAnsiTheme="minorHAnsi" w:cstheme="minorHAnsi"/>
          <w:color w:val="000000"/>
          <w:kern w:val="0"/>
          <w:szCs w:val="24"/>
          <w:bdr w:val="none" w:sz="0" w:space="0" w:color="auto" w:frame="1"/>
          <w:lang w:eastAsia="en-GB"/>
          <w14:ligatures w14:val="none"/>
        </w:rPr>
        <w:t>PGCE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w:t>
      </w:r>
      <w:r w:rsidR="00C3217A">
        <w:rPr>
          <w:rFonts w:asciiTheme="minorHAnsi" w:eastAsia="Times New Roman" w:hAnsiTheme="minorHAnsi" w:cstheme="minorHAnsi"/>
          <w:color w:val="000000"/>
          <w:kern w:val="0"/>
          <w:szCs w:val="24"/>
          <w:bdr w:val="none" w:sz="0" w:space="0" w:color="auto" w:frame="1"/>
          <w:lang w:eastAsia="en-GB"/>
          <w14:ligatures w14:val="none"/>
        </w:rPr>
        <w:t>5-11</w:t>
      </w:r>
      <w:r>
        <w:rPr>
          <w:rFonts w:asciiTheme="minorHAnsi" w:eastAsia="Times New Roman" w:hAnsiTheme="minorHAnsi" w:cstheme="minorHAnsi"/>
          <w:color w:val="000000"/>
          <w:kern w:val="0"/>
          <w:szCs w:val="24"/>
          <w:bdr w:val="none" w:sz="0" w:space="0" w:color="auto" w:frame="1"/>
          <w:lang w:eastAsia="en-GB"/>
          <w14:ligatures w14:val="none"/>
        </w:rPr>
        <w:t xml:space="preserve"> trainees.</w:t>
      </w:r>
      <w:r w:rsidR="00C3217A">
        <w:rPr>
          <w:rFonts w:asciiTheme="minorHAnsi" w:eastAsia="Times New Roman" w:hAnsiTheme="minorHAnsi" w:cstheme="minorHAnsi"/>
          <w:color w:val="000000"/>
          <w:kern w:val="0"/>
          <w:szCs w:val="24"/>
          <w:bdr w:val="none" w:sz="0" w:space="0" w:color="auto" w:frame="1"/>
          <w:lang w:eastAsia="en-GB"/>
          <w14:ligatures w14:val="none"/>
        </w:rPr>
        <w:t xml:space="preserve"> </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1822EB74" w:rsidR="008C357D" w:rsidRDefault="00C3217A"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Virginia Kay</w:t>
      </w:r>
      <w:r w:rsidR="008C357D">
        <w:rPr>
          <w:rFonts w:asciiTheme="minorHAnsi" w:eastAsia="Times New Roman" w:hAnsiTheme="minorHAnsi" w:cstheme="minorHAnsi"/>
          <w:color w:val="000000"/>
          <w:kern w:val="0"/>
          <w:szCs w:val="24"/>
          <w:bdr w:val="none" w:sz="0" w:space="0" w:color="auto" w:frame="1"/>
          <w:lang w:eastAsia="en-GB"/>
          <w14:ligatures w14:val="none"/>
        </w:rPr>
        <w:t xml:space="preserve"> – </w:t>
      </w:r>
      <w:hyperlink r:id="rId11" w:history="1">
        <w:r w:rsidRPr="00626F61">
          <w:rPr>
            <w:rStyle w:val="Hyperlink"/>
            <w:rFonts w:asciiTheme="minorHAnsi" w:eastAsia="Times New Roman" w:hAnsiTheme="minorHAnsi" w:cstheme="minorHAnsi"/>
            <w:kern w:val="0"/>
            <w:szCs w:val="24"/>
            <w:bdr w:val="none" w:sz="0" w:space="0" w:color="auto" w:frame="1"/>
            <w:lang w:eastAsia="en-GB"/>
            <w14:ligatures w14:val="none"/>
          </w:rPr>
          <w:t>kayv@edgehill.ac.uk</w:t>
        </w:r>
      </w:hyperlink>
    </w:p>
    <w:p w14:paraId="763FC757" w14:textId="31498C3F" w:rsidR="00BB4ADE" w:rsidRDefault="008C357D" w:rsidP="00C3217A">
      <w:pPr>
        <w:spacing w:after="0" w:line="240" w:lineRule="auto"/>
      </w:pPr>
      <w:r>
        <w:rPr>
          <w:rFonts w:asciiTheme="minorHAnsi" w:eastAsia="Times New Roman" w:hAnsiTheme="minorHAnsi" w:cstheme="minorHAnsi"/>
          <w:color w:val="000000"/>
          <w:kern w:val="0"/>
          <w:szCs w:val="24"/>
          <w:bdr w:val="none" w:sz="0" w:space="0" w:color="auto" w:frame="1"/>
          <w:lang w:eastAsia="en-GB"/>
          <w14:ligatures w14:val="none"/>
        </w:rPr>
        <w:t>Office number - 01695 65</w:t>
      </w:r>
      <w:r w:rsidR="00C3217A">
        <w:rPr>
          <w:rFonts w:asciiTheme="minorHAnsi" w:eastAsia="Times New Roman" w:hAnsiTheme="minorHAnsi" w:cstheme="minorHAnsi"/>
          <w:color w:val="000000"/>
          <w:kern w:val="0"/>
          <w:szCs w:val="24"/>
          <w:bdr w:val="none" w:sz="0" w:space="0" w:color="auto" w:frame="1"/>
          <w:lang w:eastAsia="en-GB"/>
          <w14:ligatures w14:val="none"/>
        </w:rPr>
        <w:t>7268</w:t>
      </w: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3"/>
  </w:num>
  <w:num w:numId="2" w16cid:durableId="1639148110">
    <w:abstractNumId w:val="0"/>
  </w:num>
  <w:num w:numId="3" w16cid:durableId="1109859920">
    <w:abstractNumId w:val="1"/>
  </w:num>
  <w:num w:numId="4" w16cid:durableId="665059572">
    <w:abstractNumId w:val="2"/>
  </w:num>
  <w:num w:numId="5" w16cid:durableId="875853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F3143"/>
    <w:rsid w:val="001825E2"/>
    <w:rsid w:val="001F0811"/>
    <w:rsid w:val="00330AAC"/>
    <w:rsid w:val="00337B21"/>
    <w:rsid w:val="00373F33"/>
    <w:rsid w:val="003A4BAE"/>
    <w:rsid w:val="003C07EA"/>
    <w:rsid w:val="003C562F"/>
    <w:rsid w:val="00456F38"/>
    <w:rsid w:val="00471060"/>
    <w:rsid w:val="00722685"/>
    <w:rsid w:val="0077142C"/>
    <w:rsid w:val="00822698"/>
    <w:rsid w:val="008A049B"/>
    <w:rsid w:val="008C357D"/>
    <w:rsid w:val="008D14DE"/>
    <w:rsid w:val="00914E68"/>
    <w:rsid w:val="00971F84"/>
    <w:rsid w:val="00994DA1"/>
    <w:rsid w:val="00A04B4D"/>
    <w:rsid w:val="00A22BF7"/>
    <w:rsid w:val="00AE1B41"/>
    <w:rsid w:val="00AE3B91"/>
    <w:rsid w:val="00B17D55"/>
    <w:rsid w:val="00BB4ADE"/>
    <w:rsid w:val="00C1007B"/>
    <w:rsid w:val="00C3217A"/>
    <w:rsid w:val="00CF75EE"/>
    <w:rsid w:val="00E05D3E"/>
    <w:rsid w:val="00F01A33"/>
    <w:rsid w:val="00F21A43"/>
    <w:rsid w:val="00F25D3F"/>
    <w:rsid w:val="00F3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yv@edgehill.ac.uk" TargetMode="External"/><Relationship Id="rId5" Type="http://schemas.openxmlformats.org/officeDocument/2006/relationships/numbering" Target="numbering.xml"/><Relationship Id="rId10" Type="http://schemas.openxmlformats.org/officeDocument/2006/relationships/hyperlink" Target="https://www.edgehill.ac.uk/departments/academic/education/ite-partnership/mentor-training-and-developmen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3.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Sophia Yearsley</cp:lastModifiedBy>
  <cp:revision>2</cp:revision>
  <dcterms:created xsi:type="dcterms:W3CDTF">2024-10-03T13:49:00Z</dcterms:created>
  <dcterms:modified xsi:type="dcterms:W3CDTF">2024-10-03T13:49:00Z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