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B6F70" w:rsidR="00D33357" w:rsidP="00BF74B3" w:rsidRDefault="00D33357" w14:paraId="55A8FE77" w14:textId="77777777">
      <w:pPr>
        <w:rPr>
          <w:rFonts w:cstheme="minorHAnsi"/>
          <w:b/>
          <w:bCs/>
        </w:rPr>
      </w:pPr>
    </w:p>
    <w:p w:rsidRPr="00353F20" w:rsidR="006D12F4" w:rsidP="70740435" w:rsidRDefault="006D12F4" w14:paraId="43A11C31" w14:textId="6CB1F9E5">
      <w:pPr>
        <w:jc w:val="center"/>
        <w:rPr>
          <w:b/>
          <w:bCs/>
          <w:sz w:val="24"/>
          <w:szCs w:val="24"/>
          <w:u w:val="single"/>
        </w:rPr>
      </w:pPr>
      <w:r w:rsidRPr="1B2F746B">
        <w:rPr>
          <w:b/>
          <w:bCs/>
          <w:sz w:val="24"/>
          <w:szCs w:val="24"/>
          <w:u w:val="single"/>
        </w:rPr>
        <w:t xml:space="preserve">Primary </w:t>
      </w:r>
      <w:r w:rsidRPr="1B2F746B" w:rsidR="00C6713A">
        <w:rPr>
          <w:b/>
          <w:bCs/>
          <w:sz w:val="24"/>
          <w:szCs w:val="24"/>
          <w:u w:val="single"/>
        </w:rPr>
        <w:t xml:space="preserve">Curriculum Map </w:t>
      </w:r>
      <w:r w:rsidR="000D52DF">
        <w:rPr>
          <w:b/>
          <w:bCs/>
          <w:sz w:val="24"/>
          <w:szCs w:val="24"/>
          <w:u w:val="single"/>
        </w:rPr>
        <w:t>–</w:t>
      </w:r>
      <w:r w:rsidR="00A41CE7">
        <w:rPr>
          <w:b/>
          <w:bCs/>
          <w:sz w:val="24"/>
          <w:szCs w:val="24"/>
          <w:u w:val="single"/>
        </w:rPr>
        <w:t xml:space="preserve"> L</w:t>
      </w:r>
      <w:r w:rsidR="000D52DF">
        <w:rPr>
          <w:b/>
          <w:bCs/>
          <w:sz w:val="24"/>
          <w:szCs w:val="24"/>
          <w:u w:val="single"/>
        </w:rPr>
        <w:t xml:space="preserve">earning Outside the Classroom </w:t>
      </w:r>
      <w:r w:rsidRPr="1B2F746B" w:rsidR="77FE5788">
        <w:rPr>
          <w:b/>
          <w:bCs/>
          <w:sz w:val="24"/>
          <w:szCs w:val="24"/>
          <w:u w:val="single"/>
        </w:rPr>
        <w:t>S</w:t>
      </w:r>
      <w:r w:rsidRPr="1B2F746B" w:rsidR="6DAFBA3B">
        <w:rPr>
          <w:b/>
          <w:bCs/>
          <w:sz w:val="24"/>
          <w:szCs w:val="24"/>
          <w:u w:val="single"/>
        </w:rPr>
        <w:t>trand</w:t>
      </w:r>
      <w:r w:rsidR="00A41CE7">
        <w:rPr>
          <w:b/>
          <w:bCs/>
          <w:sz w:val="24"/>
          <w:szCs w:val="24"/>
          <w:u w:val="single"/>
        </w:rPr>
        <w:t xml:space="preserve"> 2024/25</w:t>
      </w:r>
    </w:p>
    <w:p w:rsidRPr="00353F20" w:rsidR="003D7431" w:rsidP="614369A6" w:rsidRDefault="00513D8E" w14:paraId="63254608" w14:textId="6DA10E6E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PGCE</w:t>
      </w: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1271"/>
        <w:gridCol w:w="4536"/>
        <w:gridCol w:w="1418"/>
        <w:gridCol w:w="1417"/>
        <w:gridCol w:w="3402"/>
        <w:gridCol w:w="1904"/>
      </w:tblGrid>
      <w:tr w:rsidRPr="00600896" w:rsidR="003B3F79" w:rsidTr="75984CCB" w14:paraId="567489B4" w14:textId="77777777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  <w:tcMar/>
          </w:tcPr>
          <w:p w:rsidRPr="00600896" w:rsidR="003B3F79" w:rsidP="006D12F4" w:rsidRDefault="003B3F79" w14:paraId="327BE7B3" w14:textId="01041A1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name="_Hlk135137347" w:id="0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University Curriculum</w:t>
            </w:r>
            <w:r w:rsidRPr="00600896" w:rsidR="002B344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Pr="00600896" w:rsidR="00E16EAF" w:rsidTr="75984CCB" w14:paraId="7756CE6F" w14:textId="77777777">
        <w:trPr>
          <w:trHeight w:val="464"/>
        </w:trPr>
        <w:tc>
          <w:tcPr>
            <w:tcW w:w="1271" w:type="dxa"/>
            <w:shd w:val="clear" w:color="auto" w:fill="C5E0B3" w:themeFill="accent6" w:themeFillTint="66"/>
            <w:tcMar/>
          </w:tcPr>
          <w:p w:rsidRPr="00600896" w:rsidR="003B3F79" w:rsidP="72617E90" w:rsidRDefault="003B3F79" w14:paraId="0642757D" w14:textId="5A92D16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name="_Hlk135140532" w:id="1"/>
            <w:r w:rsidRPr="614369A6">
              <w:rPr>
                <w:rFonts w:ascii="Calibri" w:hAnsi="Calibri" w:cs="Calibri"/>
                <w:b/>
                <w:bCs/>
                <w:sz w:val="18"/>
                <w:szCs w:val="18"/>
              </w:rPr>
              <w:t>Session Sequence</w:t>
            </w:r>
          </w:p>
          <w:p w:rsidR="614369A6" w:rsidP="614369A6" w:rsidRDefault="614369A6" w14:paraId="168F9D7F" w14:textId="4A9233A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Pr="00600896" w:rsidR="003B3F79" w:rsidP="72617E90" w:rsidRDefault="33E4AE28" w14:paraId="4F553C28" w14:textId="2E2F1C7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Include details of creative </w:t>
            </w:r>
          </w:p>
        </w:tc>
        <w:tc>
          <w:tcPr>
            <w:tcW w:w="4536" w:type="dxa"/>
            <w:shd w:val="clear" w:color="auto" w:fill="C5E0B3" w:themeFill="accent6" w:themeFillTint="66"/>
            <w:tcMar/>
          </w:tcPr>
          <w:p w:rsidRPr="00600896" w:rsidR="003B3F79" w:rsidP="72617E90" w:rsidRDefault="003B3F79" w14:paraId="7BA86A83" w14:textId="124242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Session Content </w:t>
            </w:r>
          </w:p>
          <w:p w:rsidRPr="00600896" w:rsidR="003B3F79" w:rsidP="72617E90" w:rsidRDefault="003B3F79" w14:paraId="13F1B4DC" w14:textId="682422D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Subject Specific Components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00896" w:rsidR="003B3F79" w:rsidP="006D12F4" w:rsidRDefault="003B3F79" w14:paraId="42980A97" w14:textId="4CBE51C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That</w:t>
            </w:r>
          </w:p>
          <w:p w:rsidRPr="00600896" w:rsidR="003B3F79" w:rsidP="72617E90" w:rsidRDefault="003B3F79" w14:paraId="3AB405BC" w14:textId="3A65C1B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Pr="00600896" w:rsidR="3D8CA66E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numerics</w:t>
            </w:r>
            <w:proofErr w:type="spellEnd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00896" w:rsidR="003B3F79" w:rsidP="006D12F4" w:rsidRDefault="003B3F79" w14:paraId="38421D59" w14:textId="3C5533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How</w:t>
            </w:r>
          </w:p>
          <w:p w:rsidRPr="00600896" w:rsidR="003B3F79" w:rsidP="72617E90" w:rsidRDefault="003B3F79" w14:paraId="609EBC0F" w14:textId="2DB7A0C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Pr="00600896" w:rsidR="7E8BDF36">
              <w:rPr>
                <w:rFonts w:ascii="Calibri" w:hAnsi="Calibri" w:cs="Calibri"/>
                <w:b/>
                <w:bCs/>
                <w:sz w:val="18"/>
                <w:szCs w:val="18"/>
              </w:rPr>
              <w:t>ITTE</w:t>
            </w: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3402" w:type="dxa"/>
            <w:shd w:val="clear" w:color="auto" w:fill="C5E0B3" w:themeFill="accent6" w:themeFillTint="66"/>
            <w:tcMar/>
          </w:tcPr>
          <w:p w:rsidRPr="00600896" w:rsidR="003B3F79" w:rsidP="006D12F4" w:rsidRDefault="003B3F79" w14:paraId="274CBE69" w14:textId="4929B8A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904" w:type="dxa"/>
            <w:shd w:val="clear" w:color="auto" w:fill="C5E0B3" w:themeFill="accent6" w:themeFillTint="66"/>
            <w:tcMar/>
          </w:tcPr>
          <w:p w:rsidRPr="00600896" w:rsidR="003B3F79" w:rsidP="006D12F4" w:rsidRDefault="003B3F79" w14:paraId="46319610" w14:textId="2B9898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0"/>
      <w:bookmarkEnd w:id="1"/>
      <w:tr w:rsidRPr="00600896" w:rsidR="00E16EAF" w:rsidTr="75984CCB" w14:paraId="27DE8396" w14:textId="77777777">
        <w:trPr>
          <w:trHeight w:val="231"/>
        </w:trPr>
        <w:tc>
          <w:tcPr>
            <w:tcW w:w="1271" w:type="dxa"/>
            <w:tcMar/>
          </w:tcPr>
          <w:p w:rsidR="00F43C17" w:rsidP="799DBC6D" w:rsidRDefault="0B3E6C07" w14:paraId="56CE84C5" w14:textId="679D3D1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799DBC6D">
              <w:rPr>
                <w:rFonts w:eastAsiaTheme="minorEastAsia"/>
                <w:b/>
                <w:bCs/>
                <w:sz w:val="24"/>
                <w:szCs w:val="24"/>
              </w:rPr>
              <w:t>Se</w:t>
            </w:r>
            <w:r w:rsidRPr="799DBC6D" w:rsidR="1D6DBADC">
              <w:rPr>
                <w:rFonts w:eastAsiaTheme="minorEastAsia"/>
                <w:b/>
                <w:bCs/>
                <w:sz w:val="24"/>
                <w:szCs w:val="24"/>
              </w:rPr>
              <w:t>minar</w:t>
            </w:r>
          </w:p>
          <w:p w:rsidRPr="00600896" w:rsidR="00513D8E" w:rsidP="799DBC6D" w:rsidRDefault="00513D8E" w14:paraId="40E66095" w14:textId="4A5B988E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 x 2 hours</w:t>
            </w:r>
          </w:p>
          <w:p w:rsidRPr="00600896" w:rsidR="00F43C17" w:rsidP="799DBC6D" w:rsidRDefault="00F43C17" w14:paraId="46B7122D" w14:textId="061AD75E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Pr="00600896" w:rsidR="00F43C17" w:rsidP="799DBC6D" w:rsidRDefault="00F43C17" w14:paraId="583A645F" w14:textId="6E6D695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Mar/>
          </w:tcPr>
          <w:p w:rsidR="00D87DF4" w:rsidP="00D87DF4" w:rsidRDefault="00D87DF4" w14:paraId="0C0524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To know that Learning outside the Classroom (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LOtC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>) is the use of different places and settings to support children’s learning and that Learning in the Natural Environment (LINE) is any environment where human and non-human life lives.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D87DF4" w:rsidP="00D87DF4" w:rsidRDefault="00D87DF4" w14:paraId="3C451D2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:rsidR="00D87DF4" w:rsidP="00D87DF4" w:rsidRDefault="00D87DF4" w14:paraId="427D3D5C" w14:textId="38F5927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To understand the values and benefits th</w:t>
            </w:r>
            <w:r w:rsidR="00D57E0F">
              <w:rPr>
                <w:rStyle w:val="normaltextrun"/>
                <w:rFonts w:ascii="Calibri" w:hAnsi="Calibri" w:cs="Calibri"/>
              </w:rPr>
              <w:t>at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LOtC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and LINE promote for children and young people’s learning.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D87DF4" w:rsidP="00D87DF4" w:rsidRDefault="00D87DF4" w14:paraId="59A7CF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:rsidR="00D87DF4" w:rsidP="00D87DF4" w:rsidRDefault="00D87DF4" w14:paraId="15CF927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To be able to identify and participate in a range of nature pedagogies used in outdoor learning.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D87DF4" w:rsidP="00D87DF4" w:rsidRDefault="00D87DF4" w14:paraId="57322DC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:rsidR="000D52DF" w:rsidP="799DBC6D" w:rsidRDefault="000D52DF" w14:paraId="395435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</w:rPr>
            </w:pPr>
          </w:p>
          <w:p w:rsidR="001323F0" w:rsidP="001323F0" w:rsidRDefault="001323F0" w14:paraId="0D78AFD7" w14:textId="77777777">
            <w:pPr>
              <w:pStyle w:val="paragraph"/>
              <w:rPr>
                <w:rFonts w:asciiTheme="minorHAnsi" w:hAnsiTheme="minorHAnsi" w:eastAsiaTheme="minorEastAsia" w:cstheme="minorBidi"/>
                <w:lang w:val="en-US"/>
              </w:rPr>
            </w:pPr>
          </w:p>
          <w:p w:rsidRPr="00600896" w:rsidR="000D52DF" w:rsidP="799DBC6D" w:rsidRDefault="000D52DF" w14:paraId="767A5505" w14:textId="6C6C4AC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418" w:type="dxa"/>
            <w:tcMar/>
          </w:tcPr>
          <w:p w:rsidR="007F31FC" w:rsidP="007F31FC" w:rsidRDefault="007F31FC" w14:paraId="483F76E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lastRenderedPageBreak/>
              <w:t>1.1, 1.2, 1.3, 1.6, 1.7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7F31FC" w:rsidP="007F31FC" w:rsidRDefault="007F31FC" w14:paraId="45C0FC9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2.1, 2.2., 2.3, 2.4, 2.5, 2.6</w:t>
            </w:r>
          </w:p>
          <w:p w:rsidR="002B53B4" w:rsidP="002B53B4" w:rsidRDefault="002B53B4" w14:paraId="3D4CE256" w14:textId="4CA33D0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Mar/>
          </w:tcPr>
          <w:p w:rsidR="007F31FC" w:rsidP="007F31FC" w:rsidRDefault="007F31FC" w14:paraId="0469C03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1b, 1c, 1h,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7F31FC" w:rsidP="007F31FC" w:rsidRDefault="007F31FC" w14:paraId="67FFFB5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2f, 2g,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7F31FC" w:rsidP="007F31FC" w:rsidRDefault="007F31FC" w14:paraId="6259E7A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3i, 3j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2B53B4" w:rsidP="799DBC6D" w:rsidRDefault="002B53B4" w14:paraId="244FA7CC" w14:textId="5712EBF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Mar/>
          </w:tcPr>
          <w:p w:rsidRPr="00081693" w:rsidR="00081693" w:rsidP="799DBC6D" w:rsidRDefault="2BD4B2FE" w14:paraId="09ECA8A6" w14:textId="5D18EDE4">
            <w:pPr>
              <w:pStyle w:val="paragraph"/>
              <w:rPr>
                <w:rFonts w:asciiTheme="minorHAnsi" w:hAnsiTheme="minorHAnsi" w:eastAsiaTheme="minorEastAsia" w:cstheme="minorBidi"/>
                <w:lang w:val="en-US"/>
              </w:rPr>
            </w:pPr>
            <w:r w:rsidRPr="799DBC6D">
              <w:rPr>
                <w:rFonts w:asciiTheme="minorHAnsi" w:hAnsiTheme="minorHAnsi" w:eastAsiaTheme="minorEastAsia" w:cstheme="minorBidi"/>
              </w:rPr>
              <w:t xml:space="preserve">Chawla L 2020 Chawla, L. (2020). Childhood nature connection and constructive hope: A review of research on connecting with nature and coping with environmental loss. </w:t>
            </w:r>
            <w:r w:rsidRPr="799DBC6D">
              <w:rPr>
                <w:rFonts w:asciiTheme="minorHAnsi" w:hAnsiTheme="minorHAnsi" w:eastAsiaTheme="minorEastAsia" w:cstheme="minorBidi"/>
                <w:i/>
                <w:iCs/>
              </w:rPr>
              <w:t>People and Nature</w:t>
            </w:r>
            <w:r w:rsidRPr="799DBC6D">
              <w:rPr>
                <w:rFonts w:asciiTheme="minorHAnsi" w:hAnsiTheme="minorHAnsi" w:eastAsiaTheme="minorEastAsia" w:cstheme="minorBidi"/>
              </w:rPr>
              <w:t xml:space="preserve">, </w:t>
            </w:r>
            <w:r w:rsidRPr="799DBC6D">
              <w:rPr>
                <w:rFonts w:asciiTheme="minorHAnsi" w:hAnsiTheme="minorHAnsi" w:eastAsiaTheme="minorEastAsia" w:cstheme="minorBidi"/>
                <w:i/>
                <w:iCs/>
              </w:rPr>
              <w:t>2</w:t>
            </w:r>
            <w:r w:rsidRPr="799DBC6D">
              <w:rPr>
                <w:rFonts w:asciiTheme="minorHAnsi" w:hAnsiTheme="minorHAnsi" w:eastAsiaTheme="minorEastAsia" w:cstheme="minorBidi"/>
              </w:rPr>
              <w:t>, 619-642. http//doi.org/10.1002/pan3.10128.</w:t>
            </w:r>
            <w:r w:rsidRPr="799DBC6D">
              <w:rPr>
                <w:rFonts w:asciiTheme="minorHAnsi" w:hAnsiTheme="minorHAnsi" w:eastAsiaTheme="minorEastAsia" w:cstheme="minorBidi"/>
                <w:lang w:val="en-US"/>
              </w:rPr>
              <w:t>​</w:t>
            </w:r>
          </w:p>
          <w:p w:rsidR="00141216" w:rsidP="75984CCB" w:rsidRDefault="2BD4B2FE" w14:paraId="30B5640B" w14:textId="1C48E076">
            <w:pPr>
              <w:pStyle w:val="paragraph"/>
              <w:rPr>
                <w:rFonts w:ascii="Calibri" w:hAnsi="Calibri" w:eastAsia="" w:cs="" w:asciiTheme="minorAscii" w:hAnsiTheme="minorAscii" w:eastAsiaTheme="minorEastAsia" w:cstheme="minorBidi"/>
              </w:rPr>
            </w:pPr>
            <w:r w:rsidRPr="75984CCB" w:rsidR="2BD4B2FE">
              <w:rPr>
                <w:rFonts w:ascii="Calibri" w:hAnsi="Calibri" w:eastAsia="" w:cs="" w:asciiTheme="minorAscii" w:hAnsiTheme="minorAscii" w:eastAsiaTheme="minorEastAsia" w:cstheme="minorBidi"/>
              </w:rPr>
              <w:t xml:space="preserve">DFES 2005 Learning Outside the Classroom Manifesto accessed at </w:t>
            </w:r>
            <w:hyperlink r:id="R1fb231e059494cc2">
              <w:r w:rsidRPr="75984CCB" w:rsidR="445DCA82">
                <w:rPr>
                  <w:rStyle w:val="Hyperlink"/>
                  <w:rFonts w:ascii="Calibri" w:hAnsi="Calibri" w:eastAsia="" w:cs="" w:asciiTheme="minorAscii" w:hAnsiTheme="minorAscii" w:eastAsiaTheme="minorEastAsia" w:cstheme="minorBidi"/>
                </w:rPr>
                <w:t>https://thegrowingschoolsgarden.org.uk/downloads/lotc-manifesto.pdf</w:t>
              </w:r>
            </w:hyperlink>
          </w:p>
          <w:p w:rsidR="75984CCB" w:rsidP="75984CCB" w:rsidRDefault="75984CCB" w14:paraId="4585DC7F" w14:textId="56864DD6">
            <w:pPr>
              <w:pStyle w:val="paragraph"/>
              <w:rPr>
                <w:rFonts w:ascii="Calibri" w:hAnsi="Calibri" w:eastAsia="" w:cs="" w:asciiTheme="minorAscii" w:hAnsiTheme="minorAscii" w:eastAsiaTheme="minorEastAsia" w:cstheme="minorBidi"/>
              </w:rPr>
            </w:pPr>
          </w:p>
          <w:p w:rsidR="00BC7393" w:rsidP="75984CCB" w:rsidRDefault="68059644" w14:paraId="722C669E" w14:textId="77777777">
            <w:pPr>
              <w:pStyle w:val="paragraph"/>
              <w:rPr>
                <w:rFonts w:ascii="Calibri" w:hAnsi="Calibri" w:eastAsia="" w:cs="" w:asciiTheme="minorAscii" w:hAnsiTheme="minorAscii" w:eastAsiaTheme="minorEastAsia" w:cstheme="minorBidi"/>
              </w:rPr>
            </w:pPr>
            <w:r w:rsidRPr="75984CCB" w:rsidR="68059644">
              <w:rPr>
                <w:rFonts w:ascii="Calibri" w:hAnsi="Calibri" w:eastAsia="" w:cs="" w:asciiTheme="minorAscii" w:hAnsiTheme="minorAscii" w:eastAsiaTheme="minorEastAsia" w:cstheme="minorBidi"/>
              </w:rPr>
              <w:t>Rosenshine</w:t>
            </w:r>
            <w:r w:rsidRPr="75984CCB" w:rsidR="68059644">
              <w:rPr>
                <w:rFonts w:ascii="Calibri" w:hAnsi="Calibri" w:eastAsia="" w:cs="" w:asciiTheme="minorAscii" w:hAnsiTheme="minorAscii" w:eastAsiaTheme="minorEastAsia" w:cstheme="minorBidi"/>
              </w:rPr>
              <w:t>, B. (2012) Principles of Instruction: Research-based strategies that all teachers should know. American Educator, 12–20. Available at: Rosenshine_PrinciplesOfInstruction.pdf</w:t>
            </w:r>
          </w:p>
          <w:p w:rsidR="75984CCB" w:rsidP="75984CCB" w:rsidRDefault="75984CCB" w14:paraId="18E8172C" w14:textId="262D1AB9">
            <w:pPr>
              <w:pStyle w:val="paragraph"/>
              <w:rPr>
                <w:rFonts w:ascii="Calibri" w:hAnsi="Calibri" w:eastAsia="" w:cs="" w:asciiTheme="minorAscii" w:hAnsiTheme="minorAscii" w:eastAsiaTheme="minorEastAsia" w:cstheme="minorBidi"/>
              </w:rPr>
            </w:pPr>
          </w:p>
          <w:p w:rsidR="3182E524" w:rsidP="75984CCB" w:rsidRDefault="3182E524" w14:paraId="6BC9EF79" w14:textId="2030DC35">
            <w:pPr>
              <w:pStyle w:val="paragraph"/>
              <w:spacing w:beforeAutospacing="on" w:afterAutospacing="on" w:line="240" w:lineRule="auto"/>
              <w:rPr>
                <w:noProof w:val="0"/>
                <w:lang w:val="en-GB"/>
              </w:rPr>
            </w:pPr>
            <w:r w:rsidRPr="75984CCB" w:rsidR="3182E5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Talbot-Landers, C. A. (2015) Learning Outside the Classroom in Misra. S &amp; Webster. M ed. (2015) Teaching the Primary Foundation Subjects</w:t>
            </w:r>
          </w:p>
          <w:p w:rsidR="75984CCB" w:rsidP="75984CCB" w:rsidRDefault="75984CCB" w14:paraId="76088AD6" w14:textId="6F56F140">
            <w:pPr>
              <w:pStyle w:val="paragraph"/>
              <w:rPr>
                <w:rFonts w:ascii="Calibri" w:hAnsi="Calibri" w:eastAsia="" w:cs="" w:asciiTheme="minorAscii" w:hAnsiTheme="minorAscii" w:eastAsiaTheme="minorEastAsia" w:cstheme="minorBidi"/>
              </w:rPr>
            </w:pPr>
          </w:p>
          <w:p w:rsidRPr="00A029D6" w:rsidR="00A029D6" w:rsidP="799DBC6D" w:rsidRDefault="00A029D6" w14:paraId="3A855822" w14:textId="763488D7">
            <w:pPr>
              <w:pStyle w:val="paragraph"/>
              <w:rPr>
                <w:rStyle w:val="eop"/>
                <w:rFonts w:asciiTheme="minorHAnsi" w:hAnsiTheme="minorHAnsi" w:eastAsiaTheme="minorEastAsia" w:cstheme="minorBidi"/>
                <w:lang w:val="en-US"/>
              </w:rPr>
            </w:pPr>
          </w:p>
        </w:tc>
        <w:tc>
          <w:tcPr>
            <w:tcW w:w="1904" w:type="dxa"/>
            <w:tcMar/>
          </w:tcPr>
          <w:p w:rsidRPr="00241F70" w:rsidR="00241F70" w:rsidP="799DBC6D" w:rsidRDefault="73844C0E" w14:paraId="2933D7ED" w14:textId="09FA314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</w:rPr>
            </w:pPr>
            <w:r w:rsidRPr="799DBC6D">
              <w:rPr>
                <w:rStyle w:val="normaltextrun"/>
                <w:rFonts w:asciiTheme="minorHAnsi" w:hAnsiTheme="minorHAnsi" w:eastAsiaTheme="minorEastAsia" w:cstheme="minorBidi"/>
                <w:color w:val="000000" w:themeColor="text1"/>
              </w:rPr>
              <w:lastRenderedPageBreak/>
              <w:t>Trainee reflection and analysis/</w:t>
            </w:r>
          </w:p>
          <w:p w:rsidRPr="00241F70" w:rsidR="00241F70" w:rsidP="799DBC6D" w:rsidRDefault="71A1A436" w14:paraId="7F1C05FC" w14:textId="002135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</w:rPr>
            </w:pPr>
            <w:r w:rsidRPr="799DBC6D">
              <w:rPr>
                <w:rStyle w:val="normaltextrun"/>
                <w:rFonts w:asciiTheme="minorHAnsi" w:hAnsiTheme="minorHAnsi" w:eastAsiaTheme="minorEastAsia" w:cstheme="minorBidi"/>
                <w:color w:val="000000" w:themeColor="text1"/>
              </w:rPr>
              <w:t>evaluation.</w:t>
            </w:r>
            <w:r w:rsidRPr="799DBC6D" w:rsidR="73844C0E">
              <w:rPr>
                <w:rStyle w:val="eop"/>
                <w:rFonts w:asciiTheme="minorHAnsi" w:hAnsiTheme="minorHAnsi" w:eastAsiaTheme="minorEastAsia" w:cstheme="minorBidi"/>
                <w:color w:val="000000" w:themeColor="text1"/>
              </w:rPr>
              <w:t> </w:t>
            </w:r>
          </w:p>
          <w:p w:rsidRPr="00241F70" w:rsidR="00241F70" w:rsidP="799DBC6D" w:rsidRDefault="73844C0E" w14:paraId="711E8E2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</w:rPr>
            </w:pPr>
            <w:r w:rsidRPr="799DBC6D">
              <w:rPr>
                <w:rStyle w:val="eop"/>
                <w:rFonts w:asciiTheme="minorHAnsi" w:hAnsiTheme="minorHAnsi" w:eastAsiaTheme="minorEastAsia" w:cstheme="minorBidi"/>
                <w:color w:val="000000" w:themeColor="text1"/>
              </w:rPr>
              <w:t> </w:t>
            </w:r>
          </w:p>
          <w:p w:rsidRPr="009633FF" w:rsidR="00241F70" w:rsidP="799DBC6D" w:rsidRDefault="73844C0E" w14:paraId="223CF56F" w14:textId="24D0D7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</w:rPr>
            </w:pPr>
            <w:r w:rsidRPr="799DBC6D">
              <w:rPr>
                <w:rStyle w:val="normaltextrun"/>
                <w:rFonts w:asciiTheme="minorHAnsi" w:hAnsiTheme="minorHAnsi" w:eastAsiaTheme="minorEastAsia" w:cstheme="minorBidi"/>
                <w:color w:val="000000" w:themeColor="text1"/>
              </w:rPr>
              <w:t>Personal tutoring processes</w:t>
            </w:r>
            <w:r w:rsidRPr="799DBC6D">
              <w:rPr>
                <w:rStyle w:val="eop"/>
                <w:rFonts w:asciiTheme="minorHAnsi" w:hAnsiTheme="minorHAnsi" w:eastAsiaTheme="minorEastAsia" w:cstheme="minorBidi"/>
                <w:color w:val="000000" w:themeColor="text1"/>
              </w:rPr>
              <w:t> </w:t>
            </w:r>
          </w:p>
          <w:p w:rsidRPr="009633FF" w:rsidR="00241F70" w:rsidP="799DBC6D" w:rsidRDefault="0B6251FB" w14:paraId="3C4066E1" w14:textId="03A4C4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</w:rPr>
            </w:pPr>
            <w:r w:rsidRPr="799DBC6D">
              <w:rPr>
                <w:rStyle w:val="eop"/>
                <w:rFonts w:asciiTheme="minorHAnsi" w:hAnsiTheme="minorHAnsi" w:eastAsiaTheme="minorEastAsia" w:cstheme="minorBidi"/>
                <w:color w:val="000000" w:themeColor="text1"/>
              </w:rPr>
              <w:t>(weekly development summaries)</w:t>
            </w:r>
            <w:r w:rsidRPr="799DBC6D" w:rsidR="13F8FE73">
              <w:rPr>
                <w:rStyle w:val="eop"/>
                <w:rFonts w:asciiTheme="minorHAnsi" w:hAnsiTheme="minorHAnsi" w:eastAsiaTheme="minorEastAsia" w:cstheme="minorBidi"/>
                <w:color w:val="000000" w:themeColor="text1"/>
              </w:rPr>
              <w:t>.</w:t>
            </w:r>
          </w:p>
          <w:p w:rsidRPr="009633FF" w:rsidR="00241F70" w:rsidP="799DBC6D" w:rsidRDefault="73844C0E" w14:paraId="0DB7913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</w:rPr>
            </w:pPr>
            <w:r w:rsidRPr="799DBC6D">
              <w:rPr>
                <w:rStyle w:val="eop"/>
                <w:rFonts w:asciiTheme="minorHAnsi" w:hAnsiTheme="minorHAnsi" w:eastAsiaTheme="minorEastAsia" w:cstheme="minorBidi"/>
                <w:color w:val="000000" w:themeColor="text1"/>
              </w:rPr>
              <w:t> </w:t>
            </w:r>
          </w:p>
          <w:p w:rsidRPr="009633FF" w:rsidR="00241F70" w:rsidP="799DBC6D" w:rsidRDefault="73844C0E" w14:paraId="5649DB4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</w:rPr>
            </w:pPr>
            <w:r w:rsidRPr="799DBC6D">
              <w:rPr>
                <w:rStyle w:val="normaltextrun"/>
                <w:rFonts w:asciiTheme="minorHAnsi" w:hAnsiTheme="minorHAnsi" w:eastAsiaTheme="minorEastAsia" w:cstheme="minorBidi"/>
                <w:color w:val="000000" w:themeColor="text1"/>
              </w:rPr>
              <w:t>Within taught university sessions through activities and interactions.</w:t>
            </w:r>
            <w:r w:rsidRPr="799DBC6D">
              <w:rPr>
                <w:rStyle w:val="eop"/>
                <w:rFonts w:asciiTheme="minorHAnsi" w:hAnsiTheme="minorHAnsi" w:eastAsiaTheme="minorEastAsia" w:cstheme="minorBidi"/>
                <w:color w:val="000000" w:themeColor="text1"/>
              </w:rPr>
              <w:t> </w:t>
            </w:r>
          </w:p>
          <w:p w:rsidRPr="00600896" w:rsidR="00E16EAF" w:rsidP="799DBC6D" w:rsidRDefault="628F5CEB" w14:paraId="2892EEC3" w14:textId="17DA2CBB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Style w:val="normaltextrun"/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e.g. peer teaching, presentations, </w:t>
            </w:r>
            <w:r w:rsidRPr="799DBC6D" w:rsidR="0B6251FB">
              <w:rPr>
                <w:rStyle w:val="normaltextrun"/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debates,</w:t>
            </w:r>
            <w:r w:rsidRPr="799DBC6D" w:rsidR="5CC1479B">
              <w:rPr>
                <w:rStyle w:val="normaltextrun"/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and </w:t>
            </w:r>
            <w:r w:rsidRPr="799DBC6D">
              <w:rPr>
                <w:rStyle w:val="normaltextrun"/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feedback</w:t>
            </w:r>
            <w:r w:rsidRPr="799DBC6D" w:rsidR="5CC1479B">
              <w:rPr>
                <w:rStyle w:val="normaltextrun"/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Pr="009B6F70" w:rsidR="001E2E3B" w:rsidP="799DBC6D" w:rsidRDefault="001E2E3B" w14:paraId="23C15AAB" w14:textId="77777777">
      <w:pPr>
        <w:rPr>
          <w:rFonts w:eastAsiaTheme="minorEastAsia"/>
          <w:b/>
          <w:bCs/>
          <w:sz w:val="24"/>
          <w:szCs w:val="24"/>
        </w:rPr>
      </w:pP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5475"/>
        <w:gridCol w:w="1599"/>
        <w:gridCol w:w="1686"/>
        <w:gridCol w:w="3001"/>
        <w:gridCol w:w="2187"/>
      </w:tblGrid>
      <w:tr w:rsidRPr="009B6F70" w:rsidR="00A619D2" w:rsidTr="799DBC6D" w14:paraId="18E967BF" w14:textId="77777777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:rsidRPr="009B6F70" w:rsidR="00A619D2" w:rsidP="799DBC6D" w:rsidRDefault="00A619D2" w14:paraId="32A256D1" w14:textId="290BAA8A">
            <w:pPr>
              <w:jc w:val="center"/>
              <w:rPr>
                <w:rFonts w:eastAsiaTheme="minorEastAsia"/>
                <w:sz w:val="24"/>
                <w:szCs w:val="24"/>
              </w:rPr>
            </w:pPr>
            <w:bookmarkStart w:name="_Hlk135137439" w:id="2"/>
            <w:r w:rsidRPr="799DBC6D">
              <w:rPr>
                <w:rFonts w:eastAsiaTheme="minorEastAsia"/>
                <w:b/>
                <w:bCs/>
                <w:sz w:val="24"/>
                <w:szCs w:val="24"/>
              </w:rPr>
              <w:t xml:space="preserve">School Based Curriculum – </w:t>
            </w:r>
            <w:r w:rsidR="002B53B4">
              <w:rPr>
                <w:rFonts w:eastAsiaTheme="minorEastAsia"/>
                <w:b/>
                <w:bCs/>
                <w:sz w:val="24"/>
                <w:szCs w:val="24"/>
              </w:rPr>
              <w:t>Introductory</w:t>
            </w:r>
          </w:p>
        </w:tc>
      </w:tr>
      <w:tr w:rsidRPr="009B6F70" w:rsidR="00A619D2" w:rsidTr="799DBC6D" w14:paraId="3B8350F8" w14:textId="77777777">
        <w:trPr>
          <w:trHeight w:val="464"/>
        </w:trPr>
        <w:tc>
          <w:tcPr>
            <w:tcW w:w="13948" w:type="dxa"/>
            <w:gridSpan w:val="5"/>
            <w:shd w:val="clear" w:color="auto" w:fill="auto"/>
          </w:tcPr>
          <w:p w:rsidR="00B249AC" w:rsidP="799DBC6D" w:rsidRDefault="16CF8B8A" w14:paraId="7659C8FB" w14:textId="7226F132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b/>
                <w:bCs/>
                <w:sz w:val="24"/>
                <w:szCs w:val="24"/>
              </w:rPr>
              <w:t xml:space="preserve">Observing: </w:t>
            </w:r>
            <w:r>
              <w:br/>
            </w:r>
            <w:r w:rsidRPr="799DBC6D" w:rsidR="5FDBF98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Observe pupils how pupils engage and respond to </w:t>
            </w:r>
            <w:proofErr w:type="spellStart"/>
            <w:r w:rsidRPr="799DBC6D" w:rsidR="5FDBF982">
              <w:rPr>
                <w:rFonts w:eastAsiaTheme="minorEastAsia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 w:rsidR="5FDBF98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activities, and how expert colleagues tailor their teaching to meet the needs of all pupils.</w:t>
            </w:r>
            <w:r w:rsidRPr="799DBC6D" w:rsidR="5FDBF982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B249AC" w:rsidP="799DBC6D" w:rsidRDefault="00B249AC" w14:paraId="4B4E5DAB" w14:textId="7DE8EF31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</w:p>
          <w:p w:rsidR="00B249AC" w:rsidP="799DBC6D" w:rsidRDefault="16CF8B8A" w14:paraId="2430CA66" w14:textId="5EDABFD5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sz w:val="24"/>
                <w:szCs w:val="24"/>
              </w:rPr>
              <w:t>Observe how expert practitioners use motivation and build self-esteem of all learners.</w:t>
            </w:r>
          </w:p>
          <w:p w:rsidR="00B249AC" w:rsidP="799DBC6D" w:rsidRDefault="00B249AC" w14:paraId="007A865E" w14:textId="77777777">
            <w:pPr>
              <w:pStyle w:val="NoSpacing"/>
              <w:rPr>
                <w:rFonts w:asciiTheme="minorHAnsi" w:hAnsiTheme="minorHAnsi" w:eastAsiaTheme="minorEastAsia"/>
                <w:szCs w:val="24"/>
              </w:rPr>
            </w:pPr>
          </w:p>
          <w:p w:rsidR="00B249AC" w:rsidP="799DBC6D" w:rsidRDefault="16CF8B8A" w14:paraId="07057944" w14:textId="0A8C4E04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b/>
                <w:bCs/>
                <w:sz w:val="24"/>
                <w:szCs w:val="24"/>
              </w:rPr>
              <w:t xml:space="preserve">Planning: </w:t>
            </w:r>
          </w:p>
          <w:p w:rsidR="00B249AC" w:rsidP="799DBC6D" w:rsidRDefault="001D764B" w14:paraId="370DD4A1" w14:textId="7EDB22D9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Support planning </w:t>
            </w:r>
            <w:r w:rsidRPr="799DBC6D" w:rsidR="6E30763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799DBC6D" w:rsidR="6E307635">
              <w:rPr>
                <w:rFonts w:eastAsiaTheme="minorEastAsia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 w:rsidR="6E30763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activity in selected core and foundation subjects and identify the impact it has on children’s learning.</w:t>
            </w:r>
          </w:p>
          <w:p w:rsidR="002E6564" w:rsidP="799DBC6D" w:rsidRDefault="002E6564" w14:paraId="30A6ED1F" w14:textId="77777777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B249AC" w:rsidP="799DBC6D" w:rsidRDefault="16CF8B8A" w14:paraId="08375E22" w14:textId="5BF3350E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b/>
                <w:bCs/>
                <w:sz w:val="24"/>
                <w:szCs w:val="24"/>
              </w:rPr>
              <w:t xml:space="preserve">Teaching: </w:t>
            </w:r>
          </w:p>
          <w:p w:rsidR="00B249AC" w:rsidP="799DBC6D" w:rsidRDefault="0525C9A1" w14:paraId="1D0E56FA" w14:textId="7087BBDB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99DBC6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Begin to appreciate </w:t>
            </w:r>
            <w:proofErr w:type="spellStart"/>
            <w:r w:rsidRPr="799DBC6D">
              <w:rPr>
                <w:rFonts w:eastAsiaTheme="minorEastAsia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best practice principles, to deliver high-quality </w:t>
            </w:r>
            <w:proofErr w:type="spellStart"/>
            <w:r w:rsidRPr="799DBC6D">
              <w:rPr>
                <w:rFonts w:eastAsiaTheme="minorEastAsia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teaching to all pupils.</w:t>
            </w:r>
          </w:p>
          <w:p w:rsidR="00B249AC" w:rsidP="799DBC6D" w:rsidRDefault="16CF8B8A" w14:paraId="181286EC" w14:textId="783C2217">
            <w:pPr>
              <w:rPr>
                <w:rFonts w:eastAsiaTheme="minorEastAsia"/>
                <w:sz w:val="24"/>
                <w:szCs w:val="24"/>
              </w:rPr>
            </w:pPr>
            <w:r>
              <w:br/>
            </w:r>
            <w:r w:rsidRPr="799DBC6D">
              <w:rPr>
                <w:rFonts w:eastAsiaTheme="minorEastAsia"/>
                <w:b/>
                <w:bCs/>
                <w:sz w:val="24"/>
                <w:szCs w:val="24"/>
              </w:rPr>
              <w:t xml:space="preserve">Assessment: </w:t>
            </w:r>
            <w:r>
              <w:br/>
            </w:r>
            <w:r w:rsidRPr="799DBC6D">
              <w:rPr>
                <w:rFonts w:eastAsiaTheme="minorEastAsia"/>
                <w:sz w:val="24"/>
                <w:szCs w:val="24"/>
              </w:rPr>
              <w:t>Use peer and self-assessment to aid and support independent learning.</w:t>
            </w:r>
          </w:p>
          <w:p w:rsidR="00B249AC" w:rsidP="799DBC6D" w:rsidRDefault="00B249AC" w14:paraId="5C464ADC" w14:textId="7777777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249AC" w:rsidP="799DBC6D" w:rsidRDefault="16CF8B8A" w14:paraId="3E9D1DE3" w14:textId="1C9BDCC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799DBC6D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 xml:space="preserve">Subject Knowledge: </w:t>
            </w:r>
          </w:p>
          <w:p w:rsidR="00B249AC" w:rsidP="799DBC6D" w:rsidRDefault="16CF8B8A" w14:paraId="50A26C25" w14:textId="6EA1F0A9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sz w:val="24"/>
                <w:szCs w:val="24"/>
              </w:rPr>
              <w:t>Discuss and analyse with expert practitioners how to implement and review flexible groupings and use groupings to support learning and promote inclusion</w:t>
            </w:r>
            <w:r w:rsidRPr="799DBC6D" w:rsidR="5D943AEC">
              <w:rPr>
                <w:rFonts w:eastAsiaTheme="minorEastAsia"/>
                <w:sz w:val="24"/>
                <w:szCs w:val="24"/>
              </w:rPr>
              <w:t>.</w:t>
            </w:r>
          </w:p>
          <w:p w:rsidRPr="009B6F70" w:rsidR="00B249AC" w:rsidP="799DBC6D" w:rsidRDefault="00B249AC" w14:paraId="50BE9C69" w14:textId="70FB740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Pr="009B6F70" w:rsidR="00D73F05" w:rsidTr="799DBC6D" w14:paraId="2799F10B" w14:textId="77777777">
        <w:trPr>
          <w:trHeight w:val="464"/>
        </w:trPr>
        <w:tc>
          <w:tcPr>
            <w:tcW w:w="5475" w:type="dxa"/>
            <w:shd w:val="clear" w:color="auto" w:fill="E2EFD9" w:themeFill="accent6" w:themeFillTint="33"/>
          </w:tcPr>
          <w:p w:rsidRPr="009B6F70" w:rsidR="00A619D2" w:rsidP="614369A6" w:rsidRDefault="2F2CF6A5" w14:paraId="2C6B7ADD" w14:textId="3B01A53A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bookmarkStart w:name="_Hlk135140715" w:id="3"/>
            <w:r w:rsidRPr="614369A6">
              <w:rPr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:rsidRPr="009B6F70" w:rsidR="00A619D2" w:rsidP="614369A6" w:rsidRDefault="6B75BB66" w14:paraId="21456902" w14:textId="0A4D1A90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614369A6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:rsidRPr="009B6F70" w:rsidR="00A619D2" w:rsidP="614369A6" w:rsidRDefault="00A619D2" w14:paraId="75A50D3B" w14:textId="0A3B1D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9B6F70" w:rsidR="00A619D2" w:rsidP="614369A6" w:rsidRDefault="2F2CF6A5" w14:paraId="4F6F2647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:rsidRPr="009B6F70" w:rsidR="00A619D2" w:rsidP="614369A6" w:rsidRDefault="30300968" w14:paraId="57F99834" w14:textId="376F5552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3F4566C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9B6F70" w:rsidR="00A619D2" w:rsidP="614369A6" w:rsidRDefault="2F2CF6A5" w14:paraId="4A4CA901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:rsidRPr="009B6F70" w:rsidR="00A619D2" w:rsidP="614369A6" w:rsidRDefault="30300968" w14:paraId="1D50E1D4" w14:textId="2A17F870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71FDD19F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3001" w:type="dxa"/>
            <w:shd w:val="clear" w:color="auto" w:fill="E2EFD9" w:themeFill="accent6" w:themeFillTint="33"/>
          </w:tcPr>
          <w:p w:rsidRPr="009B6F70" w:rsidR="00A619D2" w:rsidP="614369A6" w:rsidRDefault="2F2CF6A5" w14:paraId="42F43AD0" w14:textId="37BC600F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:rsidRPr="009B6F70" w:rsidR="00A619D2" w:rsidP="614369A6" w:rsidRDefault="2F2CF6A5" w14:paraId="2E810B44" w14:textId="50BDFED5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  <w:bookmarkEnd w:id="3"/>
          </w:p>
        </w:tc>
      </w:tr>
      <w:tr w:rsidRPr="009B6F70" w:rsidR="00D73F05" w:rsidTr="799DBC6D" w14:paraId="18716B7C" w14:textId="77777777">
        <w:trPr>
          <w:trHeight w:val="231"/>
        </w:trPr>
        <w:tc>
          <w:tcPr>
            <w:tcW w:w="5475" w:type="dxa"/>
          </w:tcPr>
          <w:p w:rsidRPr="00A84F74" w:rsidR="00B249AC" w:rsidP="799DBC6D" w:rsidRDefault="4F566CB7" w14:paraId="6FD6F840" w14:textId="3BD24577">
            <w:pPr>
              <w:spacing w:line="259" w:lineRule="auto"/>
              <w:rPr>
                <w:rFonts w:ascii="Calibri" w:hAnsi="Calibri" w:eastAsia="Calibri" w:cs="Calibri"/>
                <w:color w:val="A8D08D" w:themeColor="accent6" w:themeTint="99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Introductory Professional Practice</w:t>
            </w:r>
          </w:p>
          <w:p w:rsidRPr="00A84F74" w:rsidR="00B249AC" w:rsidP="799DBC6D" w:rsidRDefault="4F566CB7" w14:paraId="04048FEF" w14:textId="14D8CD9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To identify </w:t>
            </w:r>
            <w:r w:rsidRPr="799DBC6D" w:rsidR="60391BC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the extent to which </w:t>
            </w: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school </w:t>
            </w:r>
            <w:r w:rsidRPr="799DBC6D" w:rsidR="71C4D45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incorporates </w:t>
            </w:r>
            <w:proofErr w:type="spellStart"/>
            <w:r w:rsidRPr="799DBC6D" w:rsidR="71C4D45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 w:rsidR="71C4D45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into their pedagogy and whether they have a </w:t>
            </w:r>
            <w:proofErr w:type="spellStart"/>
            <w:r w:rsidRPr="799DBC6D" w:rsidR="71C4D45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 w:rsidR="71C4D45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policy.</w:t>
            </w:r>
          </w:p>
          <w:p w:rsidRPr="00A84F74" w:rsidR="00B249AC" w:rsidP="3D03C899" w:rsidRDefault="00B249AC" w14:paraId="1A6251B9" w14:textId="374B3C4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A84F74" w:rsidR="00B249AC" w:rsidP="799DBC6D" w:rsidRDefault="4F566CB7" w14:paraId="51777B06" w14:textId="63D2C43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To observe </w:t>
            </w:r>
            <w:r w:rsidRPr="799DBC6D" w:rsidR="53BD08E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how </w:t>
            </w: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pupils </w:t>
            </w:r>
            <w:r w:rsidRPr="799DBC6D" w:rsidR="707D4E2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respond to </w:t>
            </w:r>
            <w:proofErr w:type="spellStart"/>
            <w:r w:rsidRPr="799DBC6D" w:rsidR="707D4E2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 w:rsidR="707D4E2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activities </w:t>
            </w: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and how teachers adapt their practice.</w:t>
            </w:r>
          </w:p>
          <w:p w:rsidRPr="00A84F74" w:rsidR="00B249AC" w:rsidP="3D03C899" w:rsidRDefault="00B249AC" w14:paraId="23766E94" w14:textId="5457B1D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A84F74" w:rsidR="00B249AC" w:rsidP="799DBC6D" w:rsidRDefault="4F566CB7" w14:paraId="54882A03" w14:textId="12EA03A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To understand and begin to plan adaptive teaching strategies to meet the needs of pupils </w:t>
            </w:r>
            <w:r w:rsidRPr="799DBC6D" w:rsidR="320BF9C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when engaging in </w:t>
            </w:r>
            <w:proofErr w:type="spellStart"/>
            <w:r w:rsidRPr="799DBC6D" w:rsidR="320BF9C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 w:rsidR="320BF9C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activities.</w:t>
            </w:r>
          </w:p>
          <w:p w:rsidRPr="00A84F74" w:rsidR="00B249AC" w:rsidP="3D03C899" w:rsidRDefault="00B249AC" w14:paraId="4A75FA72" w14:textId="3337E22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A84F74" w:rsidR="00B249AC" w:rsidP="799DBC6D" w:rsidRDefault="4F566CB7" w14:paraId="3E1AF376" w14:textId="13B1C0B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To liaise with expert colleagues to address the needs of pupils </w:t>
            </w:r>
            <w:r w:rsidRPr="799DBC6D" w:rsidR="2F95B02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when teaching </w:t>
            </w:r>
            <w:proofErr w:type="spellStart"/>
            <w:r w:rsidRPr="799DBC6D" w:rsidR="2F95B02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 w:rsidR="2F95B02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activities.</w:t>
            </w:r>
          </w:p>
          <w:p w:rsidRPr="00A84F74" w:rsidR="00B249AC" w:rsidP="3D03C899" w:rsidRDefault="00B249AC" w14:paraId="482D4750" w14:textId="72CE7C5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614369A6" w:rsidP="00D23486" w:rsidRDefault="4F566CB7" w14:paraId="2A29251B" w14:textId="64CCD8A6">
            <w:pPr>
              <w:spacing w:line="259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To understand the importance of assessment when </w:t>
            </w:r>
            <w:r w:rsidRPr="799DBC6D" w:rsidR="10EF2C1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planning for </w:t>
            </w:r>
            <w:proofErr w:type="spellStart"/>
            <w:r w:rsidRPr="799DBC6D" w:rsidR="10EF2C1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 w:rsidR="10EF2C1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activities.</w:t>
            </w:r>
          </w:p>
          <w:p w:rsidRPr="00A84F74" w:rsidR="000074DC" w:rsidP="006352ED" w:rsidRDefault="000074DC" w14:paraId="0D9B0549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9" w:type="dxa"/>
          </w:tcPr>
          <w:p w:rsidRPr="00A84F74" w:rsidR="00A85691" w:rsidP="799DBC6D" w:rsidRDefault="2263AC92" w14:paraId="128DAC68" w14:textId="77777777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sz w:val="24"/>
                <w:szCs w:val="24"/>
              </w:rPr>
              <w:t>1.1, 1.2, 1.3, 1.6, 1.7</w:t>
            </w:r>
          </w:p>
          <w:p w:rsidRPr="00A84F74" w:rsidR="00A85691" w:rsidP="799DBC6D" w:rsidRDefault="2263AC92" w14:paraId="36E35B36" w14:textId="3E92A72E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sz w:val="24"/>
                <w:szCs w:val="24"/>
              </w:rPr>
              <w:t>2.1, 2.2., 2.3, 2.4, 2.5, 2.6</w:t>
            </w:r>
          </w:p>
          <w:p w:rsidRPr="00A84F74" w:rsidR="00A85691" w:rsidP="799DBC6D" w:rsidRDefault="2263AC92" w14:paraId="64F413B5" w14:textId="49D8B48F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sz w:val="24"/>
                <w:szCs w:val="24"/>
              </w:rPr>
              <w:t xml:space="preserve">3.1, 3.2, 3.3, 3.4, 3.5, 3.7, </w:t>
            </w:r>
            <w:r w:rsidRPr="799DBC6D" w:rsidR="0FF7C876">
              <w:rPr>
                <w:rFonts w:eastAsiaTheme="minorEastAsia"/>
                <w:sz w:val="24"/>
                <w:szCs w:val="24"/>
              </w:rPr>
              <w:t xml:space="preserve">4.1, 4.2, </w:t>
            </w:r>
            <w:r w:rsidRPr="799DBC6D" w:rsidR="3FB68509">
              <w:rPr>
                <w:rFonts w:eastAsiaTheme="minorEastAsia"/>
                <w:sz w:val="24"/>
                <w:szCs w:val="24"/>
              </w:rPr>
              <w:t>4.3, 4.4, 4.5,</w:t>
            </w:r>
            <w:r w:rsidRPr="799DBC6D" w:rsidR="6F281B97">
              <w:rPr>
                <w:rFonts w:eastAsiaTheme="minorEastAsia"/>
                <w:sz w:val="24"/>
                <w:szCs w:val="24"/>
              </w:rPr>
              <w:t xml:space="preserve"> 4.6,</w:t>
            </w:r>
            <w:r w:rsidRPr="799DBC6D" w:rsidR="3FB68509">
              <w:rPr>
                <w:rFonts w:eastAsiaTheme="minorEastAsia"/>
                <w:sz w:val="24"/>
                <w:szCs w:val="24"/>
              </w:rPr>
              <w:t xml:space="preserve"> 4.9, </w:t>
            </w:r>
            <w:r w:rsidRPr="799DBC6D">
              <w:rPr>
                <w:rFonts w:eastAsiaTheme="minorEastAsia"/>
                <w:sz w:val="24"/>
                <w:szCs w:val="24"/>
              </w:rPr>
              <w:t>4.</w:t>
            </w:r>
            <w:r w:rsidRPr="799DBC6D" w:rsidR="71C5918F">
              <w:rPr>
                <w:rFonts w:eastAsiaTheme="minorEastAsia"/>
                <w:sz w:val="24"/>
                <w:szCs w:val="24"/>
              </w:rPr>
              <w:t>10</w:t>
            </w:r>
            <w:r w:rsidRPr="799DBC6D">
              <w:rPr>
                <w:rFonts w:eastAsiaTheme="minorEastAsia"/>
                <w:sz w:val="24"/>
                <w:szCs w:val="24"/>
              </w:rPr>
              <w:t>,</w:t>
            </w:r>
          </w:p>
          <w:p w:rsidRPr="00A84F74" w:rsidR="00A85691" w:rsidP="799DBC6D" w:rsidRDefault="2263AC92" w14:paraId="13E53A59" w14:textId="17F75495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sz w:val="24"/>
                <w:szCs w:val="24"/>
              </w:rPr>
              <w:t xml:space="preserve">5.1, 5.2, 5.3, 5.5, 5.7, 5.8, 5.9, </w:t>
            </w:r>
          </w:p>
          <w:p w:rsidRPr="00A84F74" w:rsidR="00A85691" w:rsidP="799DBC6D" w:rsidRDefault="2263AC92" w14:paraId="516B0A48" w14:textId="4E4C752A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sz w:val="24"/>
                <w:szCs w:val="24"/>
              </w:rPr>
              <w:t>6.5, 6.6,</w:t>
            </w:r>
          </w:p>
          <w:p w:rsidRPr="00A84F74" w:rsidR="00A85691" w:rsidP="799DBC6D" w:rsidRDefault="59BC62CD" w14:paraId="04E0BCF7" w14:textId="181AB11C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sz w:val="24"/>
                <w:szCs w:val="24"/>
              </w:rPr>
              <w:t xml:space="preserve">7.3, </w:t>
            </w:r>
            <w:r w:rsidRPr="799DBC6D" w:rsidR="2263AC92">
              <w:rPr>
                <w:rFonts w:eastAsiaTheme="minorEastAsia"/>
                <w:sz w:val="24"/>
                <w:szCs w:val="24"/>
              </w:rPr>
              <w:t>7.4</w:t>
            </w:r>
          </w:p>
          <w:p w:rsidRPr="00A84F74" w:rsidR="00A85691" w:rsidP="799DBC6D" w:rsidRDefault="00A85691" w14:paraId="50672F27" w14:textId="519B4732">
            <w:pPr>
              <w:rPr>
                <w:rFonts w:eastAsiaTheme="minorEastAsia"/>
                <w:sz w:val="24"/>
                <w:szCs w:val="24"/>
              </w:rPr>
            </w:pPr>
          </w:p>
          <w:p w:rsidRPr="00A84F74" w:rsidR="00A85691" w:rsidP="799DBC6D" w:rsidRDefault="00A85691" w14:paraId="0F267812" w14:textId="1D16A961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686" w:type="dxa"/>
          </w:tcPr>
          <w:p w:rsidRPr="00A84F74" w:rsidR="00A85691" w:rsidP="799DBC6D" w:rsidRDefault="2263AC92" w14:paraId="5D8968F5" w14:textId="77777777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sz w:val="24"/>
                <w:szCs w:val="24"/>
              </w:rPr>
              <w:t>1b, 1c, 1h,</w:t>
            </w:r>
          </w:p>
          <w:p w:rsidRPr="00A84F74" w:rsidR="00A85691" w:rsidP="799DBC6D" w:rsidRDefault="2263AC92" w14:paraId="0C301B79" w14:textId="77777777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sz w:val="24"/>
                <w:szCs w:val="24"/>
              </w:rPr>
              <w:t xml:space="preserve">2f, 2g, </w:t>
            </w:r>
          </w:p>
          <w:p w:rsidRPr="00A84F74" w:rsidR="00A85691" w:rsidP="799DBC6D" w:rsidRDefault="2263AC92" w14:paraId="79A1CE47" w14:textId="76C038FE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sz w:val="24"/>
                <w:szCs w:val="24"/>
              </w:rPr>
              <w:t>3i, 3j</w:t>
            </w:r>
          </w:p>
          <w:p w:rsidRPr="00A84F74" w:rsidR="00A85691" w:rsidP="799DBC6D" w:rsidRDefault="2263AC92" w14:paraId="3E77CD14" w14:textId="5B54147E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sz w:val="24"/>
                <w:szCs w:val="24"/>
              </w:rPr>
              <w:t>4a, 4b, 4c</w:t>
            </w:r>
          </w:p>
          <w:p w:rsidRPr="00A84F74" w:rsidR="00A85691" w:rsidP="799DBC6D" w:rsidRDefault="2263AC92" w14:paraId="0C0FE83D" w14:textId="77777777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sz w:val="24"/>
                <w:szCs w:val="24"/>
              </w:rPr>
              <w:t>5c, 5o</w:t>
            </w:r>
          </w:p>
          <w:p w:rsidRPr="00A84F74" w:rsidR="00A85691" w:rsidP="799DBC6D" w:rsidRDefault="2263AC92" w14:paraId="2DD976A7" w14:textId="77777777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sz w:val="24"/>
                <w:szCs w:val="24"/>
              </w:rPr>
              <w:t>6e, 6j, 6p</w:t>
            </w:r>
          </w:p>
          <w:p w:rsidRPr="00A84F74" w:rsidR="00A85691" w:rsidP="799DBC6D" w:rsidRDefault="2263AC92" w14:paraId="2ED53EAA" w14:textId="4C7FF5F1">
            <w:pPr>
              <w:rPr>
                <w:rFonts w:eastAsiaTheme="minorEastAsia"/>
                <w:sz w:val="24"/>
                <w:szCs w:val="24"/>
              </w:rPr>
            </w:pPr>
            <w:r w:rsidRPr="799DBC6D">
              <w:rPr>
                <w:rFonts w:eastAsiaTheme="minorEastAsia"/>
                <w:sz w:val="24"/>
                <w:szCs w:val="24"/>
              </w:rPr>
              <w:t>7a, 7b, 7j</w:t>
            </w:r>
          </w:p>
          <w:p w:rsidRPr="00A84F74" w:rsidR="00A85691" w:rsidP="799DBC6D" w:rsidRDefault="00A85691" w14:paraId="3805DA35" w14:textId="20C0A8E7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3001" w:type="dxa"/>
          </w:tcPr>
          <w:p w:rsidRPr="00A84F74" w:rsidR="00A84F74" w:rsidP="799DBC6D" w:rsidRDefault="2263AC92" w14:paraId="01A6EC29" w14:textId="33E2D7D0">
            <w:pPr>
              <w:pStyle w:val="paragraph"/>
              <w:rPr>
                <w:rFonts w:asciiTheme="minorHAnsi" w:hAnsiTheme="minorHAnsi" w:eastAsiaTheme="minorEastAsia" w:cstheme="minorBidi"/>
                <w:lang w:val="en-US"/>
              </w:rPr>
            </w:pPr>
            <w:r w:rsidRPr="799DBC6D">
              <w:rPr>
                <w:rFonts w:asciiTheme="minorHAnsi" w:hAnsiTheme="minorHAnsi" w:eastAsiaTheme="minorEastAsia" w:cstheme="minorBidi"/>
              </w:rPr>
              <w:t xml:space="preserve">Chawla L 2015 </w:t>
            </w:r>
            <w:r w:rsidRPr="799DBC6D">
              <w:rPr>
                <w:rFonts w:asciiTheme="minorHAnsi" w:hAnsiTheme="minorHAnsi" w:eastAsiaTheme="minorEastAsia" w:cstheme="minorBidi"/>
                <w:i/>
                <w:iCs/>
              </w:rPr>
              <w:t>Benefits of Nature Contact</w:t>
            </w:r>
            <w:r w:rsidRPr="799DBC6D">
              <w:rPr>
                <w:rFonts w:asciiTheme="minorHAnsi" w:hAnsiTheme="minorHAnsi" w:eastAsiaTheme="minorEastAsia" w:cstheme="minorBidi"/>
              </w:rPr>
              <w:t xml:space="preserve"> Journal of Planning Literature 30:4 accessed at </w:t>
            </w:r>
            <w:hyperlink r:id="rId13">
              <w:r w:rsidRPr="799DBC6D">
                <w:rPr>
                  <w:rStyle w:val="Hyperlink"/>
                  <w:rFonts w:asciiTheme="minorHAnsi" w:hAnsiTheme="minorHAnsi" w:eastAsiaTheme="minorEastAsia" w:cstheme="minorBidi"/>
                </w:rPr>
                <w:t>https://journals.sagepub.com/doi/full/10.1177/0885412215595441 on October 2022</w:t>
              </w:r>
            </w:hyperlink>
            <w:r w:rsidRPr="799DBC6D">
              <w:rPr>
                <w:rFonts w:asciiTheme="minorHAnsi" w:hAnsiTheme="minorHAnsi" w:eastAsiaTheme="minorEastAsia" w:cstheme="minorBidi"/>
                <w:lang w:val="en-US"/>
              </w:rPr>
              <w:t>​</w:t>
            </w:r>
          </w:p>
          <w:p w:rsidRPr="00A84F74" w:rsidR="00A84F74" w:rsidP="799DBC6D" w:rsidRDefault="00A84F74" w14:paraId="0DE69B24" w14:textId="520B0112">
            <w:pPr>
              <w:pStyle w:val="paragraph"/>
              <w:rPr>
                <w:rFonts w:asciiTheme="minorHAnsi" w:hAnsiTheme="minorHAnsi" w:eastAsiaTheme="minorEastAsia" w:cstheme="minorBidi"/>
              </w:rPr>
            </w:pPr>
          </w:p>
          <w:p w:rsidRPr="00A84F74" w:rsidR="00A84F74" w:rsidP="799DBC6D" w:rsidRDefault="00A84F74" w14:paraId="51D90701" w14:textId="63845C6E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187" w:type="dxa"/>
          </w:tcPr>
          <w:p w:rsidRPr="00A84F74" w:rsidR="006D1BC6" w:rsidP="799DBC6D" w:rsidRDefault="4AFDA25B" w14:paraId="280E5DE9" w14:textId="22E8534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WDS on Introductory Professional Practice.</w:t>
            </w:r>
          </w:p>
          <w:p w:rsidRPr="00A84F74" w:rsidR="006D1BC6" w:rsidP="799DBC6D" w:rsidRDefault="006D1BC6" w14:paraId="37DB48C0" w14:textId="741BACC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A84F74" w:rsidR="006D1BC6" w:rsidP="799DBC6D" w:rsidRDefault="4AFDA25B" w14:paraId="430D0F4C" w14:textId="03871E9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Observation of pupils </w:t>
            </w:r>
            <w:r w:rsidRPr="799DBC6D" w:rsidR="6A4AF4D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engaging in </w:t>
            </w:r>
            <w:proofErr w:type="spellStart"/>
            <w:r w:rsidRPr="799DBC6D" w:rsidR="6A4AF4D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 w:rsidR="6A4AF4D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activities.</w:t>
            </w:r>
          </w:p>
          <w:p w:rsidRPr="00A84F74" w:rsidR="006D1BC6" w:rsidP="799DBC6D" w:rsidRDefault="006D1BC6" w14:paraId="5A87507C" w14:textId="3F712B4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A84F74" w:rsidR="006D1BC6" w:rsidP="799DBC6D" w:rsidRDefault="4AFDA25B" w14:paraId="4B01DDB7" w14:textId="53BCFA9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Observation of expert colleagues teaching </w:t>
            </w:r>
            <w:proofErr w:type="spellStart"/>
            <w:r w:rsidRPr="799DBC6D" w:rsidR="514FFC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 w:rsidR="514FFC1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activities</w:t>
            </w:r>
          </w:p>
          <w:p w:rsidRPr="00A84F74" w:rsidR="006D1BC6" w:rsidP="799DBC6D" w:rsidRDefault="006D1BC6" w14:paraId="164F1501" w14:textId="795A2AA4">
            <w:pPr>
              <w:spacing w:line="259" w:lineRule="auto"/>
              <w:rPr>
                <w:rFonts w:ascii="Calibri" w:hAnsi="Calibri" w:eastAsia="Calibri" w:cs="Calibri"/>
                <w:color w:val="C00000"/>
                <w:sz w:val="24"/>
                <w:szCs w:val="24"/>
              </w:rPr>
            </w:pPr>
          </w:p>
          <w:p w:rsidRPr="00A84F74" w:rsidR="006D1BC6" w:rsidP="799DBC6D" w:rsidRDefault="4AFDA25B" w14:paraId="7E94403D" w14:textId="7A16E53E"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Observation feedback from Mentor / Link Tutor.</w:t>
            </w:r>
          </w:p>
        </w:tc>
      </w:tr>
      <w:bookmarkEnd w:id="2"/>
    </w:tbl>
    <w:p w:rsidR="001E2E3B" w:rsidP="000074DC" w:rsidRDefault="001E2E3B" w14:paraId="0E381272" w14:textId="77777777">
      <w:pPr>
        <w:rPr>
          <w:rFonts w:cstheme="minorHAnsi"/>
          <w:b/>
          <w:bCs/>
        </w:rPr>
      </w:pPr>
    </w:p>
    <w:p w:rsidRPr="009B6F70" w:rsidR="00AD349A" w:rsidP="000074DC" w:rsidRDefault="00AD349A" w14:paraId="05FE4C64" w14:textId="77777777">
      <w:pPr>
        <w:rPr>
          <w:rFonts w:cstheme="minorHAnsi"/>
          <w:b/>
          <w:bCs/>
        </w:rPr>
      </w:pPr>
    </w:p>
    <w:p w:rsidRPr="00353F20" w:rsidR="006D12F4" w:rsidP="614369A6" w:rsidRDefault="006D12F4" w14:paraId="469814C7" w14:textId="3F9A2AE0">
      <w:pPr>
        <w:jc w:val="center"/>
        <w:rPr>
          <w:b/>
          <w:bCs/>
          <w:i/>
          <w:iCs/>
          <w:u w:val="single"/>
        </w:rPr>
      </w:pPr>
      <w:bookmarkStart w:name="_Hlk135137737" w:id="4"/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3158"/>
        <w:gridCol w:w="1203"/>
        <w:gridCol w:w="1521"/>
        <w:gridCol w:w="6211"/>
        <w:gridCol w:w="1860"/>
      </w:tblGrid>
      <w:tr w:rsidRPr="009B6F70" w:rsidR="00A619D2" w:rsidTr="614369A6" w14:paraId="5220A0DB" w14:textId="77777777">
        <w:trPr>
          <w:trHeight w:val="464"/>
        </w:trPr>
        <w:tc>
          <w:tcPr>
            <w:tcW w:w="13953" w:type="dxa"/>
            <w:gridSpan w:val="5"/>
            <w:shd w:val="clear" w:color="auto" w:fill="BDD6EE" w:themeFill="accent5" w:themeFillTint="66"/>
          </w:tcPr>
          <w:p w:rsidRPr="009B6F70" w:rsidR="00A619D2" w:rsidP="00A619D2" w:rsidRDefault="00A619D2" w14:paraId="19EA71E8" w14:textId="7137E51E">
            <w:pPr>
              <w:jc w:val="center"/>
              <w:rPr>
                <w:rFonts w:cstheme="minorHAnsi"/>
                <w:b/>
                <w:bCs/>
              </w:rPr>
            </w:pPr>
            <w:bookmarkStart w:name="_Hlk135137845" w:id="5"/>
            <w:bookmarkEnd w:id="4"/>
            <w:r w:rsidRPr="009B6F70">
              <w:rPr>
                <w:rFonts w:cstheme="minorHAnsi"/>
                <w:b/>
                <w:bCs/>
              </w:rPr>
              <w:t xml:space="preserve">School Based Curriculum – </w:t>
            </w:r>
            <w:r w:rsidR="002B53B4">
              <w:rPr>
                <w:rFonts w:cstheme="minorHAnsi"/>
                <w:b/>
                <w:bCs/>
              </w:rPr>
              <w:t>Developmental</w:t>
            </w:r>
          </w:p>
        </w:tc>
      </w:tr>
      <w:tr w:rsidRPr="009B6F70" w:rsidR="00A619D2" w:rsidTr="614369A6" w14:paraId="7C6FC821" w14:textId="77777777">
        <w:trPr>
          <w:trHeight w:val="464"/>
        </w:trPr>
        <w:tc>
          <w:tcPr>
            <w:tcW w:w="13953" w:type="dxa"/>
            <w:gridSpan w:val="5"/>
          </w:tcPr>
          <w:p w:rsidR="007C29FE" w:rsidP="007C29FE" w:rsidRDefault="007C29FE" w14:paraId="2B79953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Observing: </w:t>
            </w:r>
            <w:r>
              <w:rPr>
                <w:rStyle w:val="scxw215751622"/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br/>
            </w:r>
            <w:r>
              <w:rPr>
                <w:rStyle w:val="normaltextrun"/>
                <w:rFonts w:ascii="Calibri" w:hAnsi="Calibri" w:cs="Calibri"/>
              </w:rPr>
              <w:t xml:space="preserve">Observe 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how expert colleagues tailor their teaching to meet the needs of all pupils during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</w:rPr>
              <w:t>LOtC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</w:rPr>
              <w:t xml:space="preserve"> activities.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7C29FE" w:rsidP="007C29FE" w:rsidRDefault="007C29FE" w14:paraId="725DD08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:rsidR="007C29FE" w:rsidP="007C29FE" w:rsidRDefault="007C29FE" w14:paraId="141555F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Planning: </w:t>
            </w:r>
            <w:r>
              <w:rPr>
                <w:rStyle w:val="scxw215751622"/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br/>
            </w:r>
            <w:r>
              <w:rPr>
                <w:rStyle w:val="normaltextrun"/>
                <w:rFonts w:ascii="Calibri" w:hAnsi="Calibri" w:cs="Calibri"/>
              </w:rPr>
              <w:t xml:space="preserve">Plan for opportunities to increase cultural capital through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LOtC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activities.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7C29FE" w:rsidP="007C29FE" w:rsidRDefault="007C29FE" w14:paraId="11906C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Plan for the effective use of additional adults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7C29FE" w:rsidP="007C29FE" w:rsidRDefault="007C29FE" w14:paraId="6C900D3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Discuss with expert practitioners how they embed adaptive approaches into planning.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7C29FE" w:rsidP="007C29FE" w:rsidRDefault="007C29FE" w14:paraId="6D56F24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:rsidR="007C29FE" w:rsidP="007C29FE" w:rsidRDefault="007C29FE" w14:paraId="3B999A2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Teaching: </w:t>
            </w:r>
            <w:r>
              <w:rPr>
                <w:rStyle w:val="scxw215751622"/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br/>
            </w:r>
            <w:r>
              <w:rPr>
                <w:rStyle w:val="normaltextrun"/>
                <w:rFonts w:ascii="Calibri" w:hAnsi="Calibri" w:cs="Calibri"/>
              </w:rPr>
              <w:t xml:space="preserve">Plan, teach and evaluate lessons which incorporate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LOtC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activities to enable all children to access a rich curriculum.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7C29FE" w:rsidP="007C29FE" w:rsidRDefault="007C29FE" w14:paraId="0EBAEC7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:rsidR="007C29FE" w:rsidP="007C29FE" w:rsidRDefault="007C29FE" w14:paraId="340D2F3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Assessment: </w:t>
            </w:r>
            <w:r>
              <w:rPr>
                <w:rStyle w:val="scxw215751622"/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br/>
            </w:r>
            <w:r>
              <w:rPr>
                <w:rStyle w:val="normaltextrun"/>
                <w:rFonts w:ascii="Calibri" w:hAnsi="Calibri" w:cs="Calibri"/>
              </w:rPr>
              <w:t>Use peer and self-assessment to aid and support independent learning.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7C29FE" w:rsidP="007C29FE" w:rsidRDefault="007C29FE" w14:paraId="78DA645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:rsidR="007C29FE" w:rsidP="007C29FE" w:rsidRDefault="007C29FE" w14:paraId="6D476ED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Subject Knowledge: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7C29FE" w:rsidP="007C29FE" w:rsidRDefault="007C29FE" w14:paraId="6874DC7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Discuss and analyse with expert practitioners how to implement and review flexible groupings and use groupings to support children’s learning, their connection to nature, their wellbeing, and their behaviour regulation</w:t>
            </w:r>
            <w:r>
              <w:rPr>
                <w:rStyle w:val="normaltextrun"/>
                <w:rFonts w:ascii="Calibri" w:hAnsi="Calibri" w:cs="Calibri"/>
                <w:lang w:val="en-US"/>
              </w:rPr>
              <w:t>​.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9B6F70" w:rsidR="00A619D2" w:rsidP="0035496C" w:rsidRDefault="00A619D2" w14:paraId="1756EA86" w14:textId="2730F58C"/>
        </w:tc>
      </w:tr>
      <w:tr w:rsidRPr="009B6F70" w:rsidR="006F3C6A" w:rsidTr="614369A6" w14:paraId="0B38BB33" w14:textId="77777777">
        <w:trPr>
          <w:trHeight w:val="464"/>
        </w:trPr>
        <w:tc>
          <w:tcPr>
            <w:tcW w:w="5745" w:type="dxa"/>
            <w:shd w:val="clear" w:color="auto" w:fill="BDD6EE" w:themeFill="accent5" w:themeFillTint="66"/>
          </w:tcPr>
          <w:p w:rsidRPr="009B6F70" w:rsidR="00A619D2" w:rsidP="614369A6" w:rsidRDefault="2F2CF6A5" w14:paraId="5BCC649D" w14:textId="164E9039">
            <w:pPr>
              <w:rPr>
                <w:b/>
                <w:bCs/>
                <w:sz w:val="18"/>
                <w:szCs w:val="18"/>
              </w:rPr>
            </w:pPr>
            <w:bookmarkStart w:name="_Hlk135140967" w:id="6"/>
            <w:r w:rsidRPr="614369A6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:rsidRPr="009B6F70" w:rsidR="00A619D2" w:rsidP="614369A6" w:rsidRDefault="00A619D2" w14:paraId="33515F01" w14:textId="32CAAEC8">
            <w:pPr>
              <w:rPr>
                <w:b/>
                <w:bCs/>
                <w:sz w:val="18"/>
                <w:szCs w:val="18"/>
              </w:rPr>
            </w:pPr>
          </w:p>
          <w:p w:rsidRPr="009B6F70" w:rsidR="00A619D2" w:rsidP="614369A6" w:rsidRDefault="47FB2978" w14:paraId="4C2BFD50" w14:textId="6BC0D47D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614369A6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:rsidRPr="009B6F70" w:rsidR="00A619D2" w:rsidP="614369A6" w:rsidRDefault="00A619D2" w14:paraId="27B52421" w14:textId="0EB93A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BDD6EE" w:themeFill="accent5" w:themeFillTint="66"/>
          </w:tcPr>
          <w:p w:rsidRPr="009B6F70" w:rsidR="00A619D2" w:rsidP="614369A6" w:rsidRDefault="2F2CF6A5" w14:paraId="1533E66C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:rsidRPr="009B6F70" w:rsidR="00A619D2" w:rsidP="614369A6" w:rsidRDefault="30300968" w14:paraId="6B37C4ED" w14:textId="0AF075D9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77CE08C5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908" w:type="dxa"/>
            <w:shd w:val="clear" w:color="auto" w:fill="BDD6EE" w:themeFill="accent5" w:themeFillTint="66"/>
          </w:tcPr>
          <w:p w:rsidRPr="009B6F70" w:rsidR="00A619D2" w:rsidP="614369A6" w:rsidRDefault="2F2CF6A5" w14:paraId="5223E0BB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:rsidRPr="009B6F70" w:rsidR="00A619D2" w:rsidP="614369A6" w:rsidRDefault="30300968" w14:paraId="558AA81D" w14:textId="1592D398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5AFFFF37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496" w:type="dxa"/>
            <w:shd w:val="clear" w:color="auto" w:fill="BDD6EE" w:themeFill="accent5" w:themeFillTint="66"/>
          </w:tcPr>
          <w:p w:rsidRPr="009B6F70" w:rsidR="00A619D2" w:rsidP="614369A6" w:rsidRDefault="2F2CF6A5" w14:paraId="43604FA7" w14:textId="27CD5365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199" w:type="dxa"/>
            <w:shd w:val="clear" w:color="auto" w:fill="BDD6EE" w:themeFill="accent5" w:themeFillTint="66"/>
          </w:tcPr>
          <w:p w:rsidRPr="009B6F70" w:rsidR="00A619D2" w:rsidP="614369A6" w:rsidRDefault="2F2CF6A5" w14:paraId="60DCA1D1" w14:textId="0B051705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6"/>
      <w:tr w:rsidRPr="009B6F70" w:rsidR="006F3C6A" w:rsidTr="614369A6" w14:paraId="1BE4BE1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5745" w:type="dxa"/>
          </w:tcPr>
          <w:p w:rsidR="000F51E4" w:rsidP="009B1B0A" w:rsidRDefault="000F51E4" w14:paraId="07E416C8" w14:textId="526A577C">
            <w:pPr>
              <w:pStyle w:val="paragraph"/>
              <w:spacing w:before="0" w:after="0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 xml:space="preserve">To know that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LOtC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activities can support children’s learning, their connection to nature, their wellbeing, and their behaviour regulation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​.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9B1B0A" w:rsidP="009B1B0A" w:rsidRDefault="009B1B0A" w14:paraId="4072B025" w14:textId="406543BA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​</w:t>
            </w:r>
            <w:r w:rsidR="00D8313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To understand that effective groupings and deployment of support staff can enable all children (especially those with SEND) to access a rich curriculum.</w:t>
            </w:r>
            <w:r w:rsidR="00D83137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9B1B0A" w:rsidP="009B1B0A" w:rsidRDefault="009B1B0A" w14:paraId="42925363" w14:textId="4D70F711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​</w:t>
            </w:r>
            <w:r>
              <w:rPr>
                <w:rStyle w:val="normaltextrun"/>
                <w:rFonts w:ascii="Calibri" w:hAnsi="Calibri" w:cs="Calibri"/>
              </w:rPr>
              <w:t>To be able to contribute to the design of experiences that connect children to nature</w:t>
            </w:r>
            <w:r w:rsidR="00B678BC">
              <w:rPr>
                <w:rStyle w:val="normaltextrun"/>
                <w:rFonts w:ascii="Calibri" w:hAnsi="Calibri" w:cs="Calibri"/>
              </w:rPr>
              <w:t xml:space="preserve">, </w:t>
            </w:r>
            <w:r>
              <w:rPr>
                <w:rStyle w:val="normaltextrun"/>
                <w:rFonts w:ascii="Calibri" w:hAnsi="Calibri" w:cs="Calibri"/>
              </w:rPr>
              <w:t>support risky play</w:t>
            </w:r>
            <w:r>
              <w:rPr>
                <w:rStyle w:val="normaltextrun"/>
                <w:rFonts w:ascii="Calibri" w:hAnsi="Calibri" w:cs="Calibri"/>
                <w:lang w:val="en-US"/>
              </w:rPr>
              <w:t>​</w:t>
            </w:r>
            <w:r w:rsidR="00B678BC">
              <w:rPr>
                <w:rStyle w:val="normaltextrun"/>
                <w:rFonts w:ascii="Calibri" w:hAnsi="Calibri" w:cs="Calibri"/>
                <w:lang w:val="en-US"/>
              </w:rPr>
              <w:t xml:space="preserve"> and increase children’s cultural capital.</w:t>
            </w:r>
          </w:p>
          <w:p w:rsidRPr="009B6F70" w:rsidR="00515568" w:rsidP="2CC1C8D2" w:rsidRDefault="00515568" w14:paraId="52A12905" w14:textId="0FE98DFC"/>
          <w:p w:rsidRPr="009B6F70" w:rsidR="00515568" w:rsidP="2CC1C8D2" w:rsidRDefault="00515568" w14:paraId="78017BA8" w14:textId="2D327B37"/>
          <w:p w:rsidRPr="009B6F70" w:rsidR="00515568" w:rsidP="2CC1C8D2" w:rsidRDefault="00515568" w14:paraId="7E1A917E" w14:textId="26331054"/>
          <w:p w:rsidRPr="009B6F70" w:rsidR="00515568" w:rsidP="2CC1C8D2" w:rsidRDefault="00515568" w14:paraId="11CB452D" w14:textId="71673EF7"/>
          <w:p w:rsidRPr="009B6F70" w:rsidR="00515568" w:rsidP="2CC1C8D2" w:rsidRDefault="00515568" w14:paraId="6B092B09" w14:textId="1256A1F1"/>
          <w:p w:rsidRPr="009B6F70" w:rsidR="00515568" w:rsidP="2CC1C8D2" w:rsidRDefault="00515568" w14:paraId="4F3AD1AE" w14:textId="52ED6CC9"/>
          <w:p w:rsidRPr="009B6F70" w:rsidR="00515568" w:rsidP="2CC1C8D2" w:rsidRDefault="00515568" w14:paraId="5D5B0070" w14:textId="07C5BBC2"/>
          <w:p w:rsidRPr="009B6F70" w:rsidR="00515568" w:rsidP="2CC1C8D2" w:rsidRDefault="00515568" w14:paraId="35C498A6" w14:textId="6DBC25EE"/>
          <w:p w:rsidRPr="009B6F70" w:rsidR="00515568" w:rsidP="2CC1C8D2" w:rsidRDefault="00515568" w14:paraId="00F48717" w14:textId="2F6EF4D7"/>
        </w:tc>
        <w:tc>
          <w:tcPr>
            <w:tcW w:w="1605" w:type="dxa"/>
          </w:tcPr>
          <w:p w:rsidR="00EA0DB6" w:rsidP="00EA0DB6" w:rsidRDefault="00EA0DB6" w14:paraId="325B650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3.1, 3.2, 3.3, 3.4, 3.5, 3.7, 4.5, 4.6, 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EA0DB6" w:rsidP="00EA0DB6" w:rsidRDefault="00EA0DB6" w14:paraId="773E91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5.1, 5.2, 5.3, 5.5, 7.3, 7.4</w:t>
            </w:r>
          </w:p>
          <w:p w:rsidRPr="001E5100" w:rsidR="004371C1" w:rsidP="2CC1C8D2" w:rsidRDefault="004371C1" w14:paraId="3FEF25F8" w14:textId="487A5FD7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</w:tcPr>
          <w:p w:rsidRPr="001E5100" w:rsidR="001D4A83" w:rsidP="2CC1C8D2" w:rsidRDefault="009F0F4F" w14:paraId="5599F53D" w14:textId="15F11A16">
            <w:pPr>
              <w:rPr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4a, 4b, 4c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96" w:type="dxa"/>
          </w:tcPr>
          <w:p w:rsidR="009F0F4F" w:rsidP="009F0F4F" w:rsidRDefault="009F0F4F" w14:paraId="7CF7002C" w14:textId="77777777">
            <w:pPr>
              <w:pStyle w:val="paragraph"/>
              <w:spacing w:before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DoE 2022 Strategy for Sustainability and Climate Change accessed at </w:t>
            </w:r>
            <w:hyperlink w:tgtFrame="_blank" w:history="1" r:id="rId14">
              <w:r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https://www.gov.uk/government/publications/sustainability-and-climate-change-strategy/sustainability-and-climate-</w:t>
              </w:r>
            </w:hyperlink>
            <w:hyperlink w:tgtFrame="_blank" w:history="1" r:id="rId15">
              <w:r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change-a-strategy-for-the-education-and-childrens-services-systems</w:t>
              </w:r>
            </w:hyperlink>
            <w:r>
              <w:rPr>
                <w:rStyle w:val="normaltextrun"/>
                <w:rFonts w:ascii="Calibri" w:hAnsi="Calibri" w:cs="Calibri"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9B6F70" w:rsidR="00353F20" w:rsidP="00353F20" w:rsidRDefault="00353F20" w14:paraId="54905FCE" w14:textId="1D8A16D0">
            <w:pPr>
              <w:rPr>
                <w:rFonts w:cstheme="minorHAnsi"/>
                <w:u w:val="single"/>
              </w:rPr>
            </w:pPr>
          </w:p>
        </w:tc>
        <w:tc>
          <w:tcPr>
            <w:tcW w:w="2199" w:type="dxa"/>
          </w:tcPr>
          <w:p w:rsidRPr="00A84F74" w:rsidR="00747F6C" w:rsidP="00747F6C" w:rsidRDefault="00747F6C" w14:paraId="33CB48D0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WDS on Introductory Professional Practice.</w:t>
            </w:r>
          </w:p>
          <w:p w:rsidRPr="00A84F74" w:rsidR="00747F6C" w:rsidP="00747F6C" w:rsidRDefault="00747F6C" w14:paraId="18B5204B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A84F74" w:rsidR="00747F6C" w:rsidP="00747F6C" w:rsidRDefault="00747F6C" w14:paraId="77A490B8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Mentor / </w:t>
            </w:r>
            <w:proofErr w:type="spellStart"/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expert colleague </w:t>
            </w:r>
          </w:p>
          <w:p w:rsidRPr="00A84F74" w:rsidR="00747F6C" w:rsidP="00747F6C" w:rsidRDefault="00747F6C" w14:paraId="7F50DAE0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conversations.</w:t>
            </w:r>
          </w:p>
          <w:p w:rsidRPr="00A84F74" w:rsidR="00747F6C" w:rsidP="00747F6C" w:rsidRDefault="00747F6C" w14:paraId="5BE9C347" w14:textId="77777777">
            <w:pPr>
              <w:spacing w:line="259" w:lineRule="auto"/>
              <w:rPr>
                <w:rFonts w:ascii="Calibri" w:hAnsi="Calibri" w:eastAsia="Calibri" w:cs="Calibri"/>
                <w:color w:val="C00000"/>
                <w:sz w:val="24"/>
                <w:szCs w:val="24"/>
              </w:rPr>
            </w:pPr>
          </w:p>
          <w:p w:rsidRPr="00A84F74" w:rsidR="00747F6C" w:rsidP="00747F6C" w:rsidRDefault="00747F6C" w14:paraId="31F55708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Observation of pupils engaging in </w:t>
            </w:r>
            <w:proofErr w:type="spellStart"/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activities.</w:t>
            </w:r>
          </w:p>
          <w:p w:rsidRPr="00A84F74" w:rsidR="00747F6C" w:rsidP="00747F6C" w:rsidRDefault="00747F6C" w14:paraId="2C189863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A84F74" w:rsidR="00747F6C" w:rsidP="00747F6C" w:rsidRDefault="00747F6C" w14:paraId="469AD692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Observation of expert colleagues teaching </w:t>
            </w:r>
            <w:proofErr w:type="spellStart"/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activities</w:t>
            </w:r>
          </w:p>
          <w:p w:rsidRPr="00A84F74" w:rsidR="00747F6C" w:rsidP="00747F6C" w:rsidRDefault="00747F6C" w14:paraId="3D267941" w14:textId="77777777">
            <w:pPr>
              <w:spacing w:line="259" w:lineRule="auto"/>
              <w:rPr>
                <w:rFonts w:ascii="Calibri" w:hAnsi="Calibri" w:eastAsia="Calibri" w:cs="Calibri"/>
                <w:color w:val="C00000"/>
                <w:sz w:val="24"/>
                <w:szCs w:val="24"/>
              </w:rPr>
            </w:pPr>
          </w:p>
          <w:p w:rsidRPr="009B6F70" w:rsidR="00353F20" w:rsidP="00747F6C" w:rsidRDefault="00353F20" w14:paraId="721E9FC8" w14:textId="63F930BB">
            <w:pPr>
              <w:rPr>
                <w:sz w:val="16"/>
                <w:szCs w:val="16"/>
              </w:rPr>
            </w:pPr>
          </w:p>
        </w:tc>
      </w:tr>
    </w:tbl>
    <w:p w:rsidRPr="009B6F70" w:rsidR="001E2E3B" w:rsidRDefault="001E2E3B" w14:paraId="5FD9E123" w14:textId="77777777">
      <w:pPr>
        <w:rPr>
          <w:rFonts w:cstheme="minorHAnsi"/>
          <w:b/>
          <w:bCs/>
          <w:u w:val="single"/>
        </w:rPr>
      </w:pPr>
      <w:bookmarkStart w:name="_Hlk135137995" w:id="7"/>
      <w:bookmarkEnd w:id="5"/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5959"/>
        <w:gridCol w:w="1485"/>
        <w:gridCol w:w="1644"/>
        <w:gridCol w:w="3019"/>
        <w:gridCol w:w="1846"/>
      </w:tblGrid>
      <w:tr w:rsidRPr="009B6F70" w:rsidR="008B6642" w:rsidTr="614369A6" w14:paraId="3BBD1257" w14:textId="77777777">
        <w:trPr>
          <w:trHeight w:val="464"/>
        </w:trPr>
        <w:tc>
          <w:tcPr>
            <w:tcW w:w="13953" w:type="dxa"/>
            <w:gridSpan w:val="5"/>
            <w:shd w:val="clear" w:color="auto" w:fill="F7CAAC" w:themeFill="accent2" w:themeFillTint="66"/>
          </w:tcPr>
          <w:p w:rsidRPr="009B6F70" w:rsidR="008B6642" w:rsidP="008B6642" w:rsidRDefault="008B6642" w14:paraId="75899F9C" w14:textId="4FB89BFF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School Based Curriculum – </w:t>
            </w:r>
            <w:r w:rsidR="002B53B4">
              <w:rPr>
                <w:rFonts w:cstheme="minorHAnsi"/>
                <w:b/>
                <w:bCs/>
              </w:rPr>
              <w:t>Consolidation</w:t>
            </w:r>
          </w:p>
        </w:tc>
      </w:tr>
      <w:tr w:rsidRPr="009B6F70" w:rsidR="008B6642" w:rsidTr="614369A6" w14:paraId="1C0F7D76" w14:textId="77777777">
        <w:trPr>
          <w:trHeight w:val="464"/>
        </w:trPr>
        <w:tc>
          <w:tcPr>
            <w:tcW w:w="13953" w:type="dxa"/>
            <w:gridSpan w:val="5"/>
            <w:shd w:val="clear" w:color="auto" w:fill="auto"/>
          </w:tcPr>
          <w:p w:rsidR="008952FD" w:rsidP="008952FD" w:rsidRDefault="008952FD" w14:paraId="073BC3C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Planning: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8952FD" w:rsidP="008952FD" w:rsidRDefault="008952FD" w14:paraId="1AD2149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Work closely with other teachers,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SENco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and members of the staff team to implement reasonable adjustments within and beyond the classroom.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8952FD" w:rsidP="008952FD" w:rsidRDefault="008952FD" w14:paraId="086D9FC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Plan for children who may need adaptations beyond the classroom to support their social inclusion (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LOtC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>).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8952FD" w:rsidP="008952FD" w:rsidRDefault="008952FD" w14:paraId="70977FD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:rsidR="008952FD" w:rsidP="008952FD" w:rsidRDefault="008952FD" w14:paraId="7F10402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Teaching: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8952FD" w:rsidP="008952FD" w:rsidRDefault="008952FD" w14:paraId="2D7B264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Plan, teach and evaluate lessons which incorporate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LOtC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activities to enable all children to access a rich curriculum, ensuring reasonable adjustments for children with SEND are implemented.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8952FD" w:rsidP="008952FD" w:rsidRDefault="008952FD" w14:paraId="6877B46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:rsidR="008952FD" w:rsidP="008952FD" w:rsidRDefault="008952FD" w14:paraId="53519C8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Assessment: </w:t>
            </w:r>
            <w:r>
              <w:rPr>
                <w:rStyle w:val="scxw114759036"/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br/>
            </w:r>
            <w:r>
              <w:rPr>
                <w:rStyle w:val="normaltextrun"/>
                <w:rFonts w:ascii="Calibri" w:hAnsi="Calibri" w:cs="Calibri"/>
              </w:rPr>
              <w:t>Discuss with expert colleagues’ summative assessment, reporting and how data is used.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8952FD" w:rsidP="008952FD" w:rsidRDefault="008952FD" w14:paraId="7CEDD1B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:rsidR="008952FD" w:rsidP="008952FD" w:rsidRDefault="008952FD" w14:paraId="4A930C9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Subject Knowledge: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8952FD" w:rsidP="008952FD" w:rsidRDefault="008952FD" w14:paraId="0656857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To know how to plan an effective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LOtC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activity which enables children to connect to nature and supports authentic learning in context.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9B6F70" w:rsidR="00DA7359" w:rsidP="2CC1C8D2" w:rsidRDefault="00DA7359" w14:paraId="468CA129" w14:textId="32FAA77E"/>
        </w:tc>
      </w:tr>
      <w:tr w:rsidRPr="009B6F70" w:rsidR="003B435B" w:rsidTr="614369A6" w14:paraId="4F933ED1" w14:textId="77777777">
        <w:trPr>
          <w:trHeight w:val="464"/>
        </w:trPr>
        <w:tc>
          <w:tcPr>
            <w:tcW w:w="6615" w:type="dxa"/>
            <w:shd w:val="clear" w:color="auto" w:fill="F7CAAC" w:themeFill="accent2" w:themeFillTint="66"/>
          </w:tcPr>
          <w:p w:rsidRPr="009B6F70" w:rsidR="008B6642" w:rsidP="614369A6" w:rsidRDefault="008B6642" w14:paraId="121825E0" w14:textId="4648FCFC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:rsidRPr="009B6F70" w:rsidR="008B6642" w:rsidP="614369A6" w:rsidRDefault="008B6642" w14:paraId="2DEF35DF" w14:textId="5ABA23EB">
            <w:pPr>
              <w:rPr>
                <w:b/>
                <w:bCs/>
                <w:sz w:val="18"/>
                <w:szCs w:val="18"/>
              </w:rPr>
            </w:pPr>
          </w:p>
          <w:p w:rsidRPr="009B6F70" w:rsidR="008B6642" w:rsidP="614369A6" w:rsidRDefault="01C8AB99" w14:paraId="6569B145" w14:textId="5E4C290C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614369A6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:rsidRPr="009B6F70" w:rsidR="008B6642" w:rsidP="614369A6" w:rsidRDefault="008B6642" w14:paraId="0806E086" w14:textId="4D1CF4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F7CAAC" w:themeFill="accent2" w:themeFillTint="66"/>
          </w:tcPr>
          <w:p w:rsidRPr="009B6F70" w:rsidR="008B6642" w:rsidP="614369A6" w:rsidRDefault="008B6642" w14:paraId="128E21FE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:rsidRPr="009B6F70" w:rsidR="008B6642" w:rsidP="614369A6" w:rsidRDefault="008B6642" w14:paraId="0AE01906" w14:textId="14C97501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0B16AA9D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Pr="009B6F70" w:rsidR="008B6642" w:rsidP="614369A6" w:rsidRDefault="008B6642" w14:paraId="2484374B" w14:textId="77777777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:rsidRPr="009B6F70" w:rsidR="008B6642" w:rsidP="614369A6" w:rsidRDefault="008B6642" w14:paraId="522CB253" w14:textId="25DDEFC4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Pr="614369A6" w:rsidR="3C37F2C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2194" w:type="dxa"/>
            <w:shd w:val="clear" w:color="auto" w:fill="F7CAAC" w:themeFill="accent2" w:themeFillTint="66"/>
          </w:tcPr>
          <w:p w:rsidRPr="009B6F70" w:rsidR="008B6642" w:rsidP="614369A6" w:rsidRDefault="008B6642" w14:paraId="17C20E5E" w14:textId="56F82F6C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877" w:type="dxa"/>
            <w:shd w:val="clear" w:color="auto" w:fill="F7CAAC" w:themeFill="accent2" w:themeFillTint="66"/>
          </w:tcPr>
          <w:p w:rsidRPr="009B6F70" w:rsidR="008B6642" w:rsidP="614369A6" w:rsidRDefault="008B6642" w14:paraId="0AADFB6D" w14:textId="0A402CDC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tr w:rsidRPr="009B6F70" w:rsidR="000B5AE1" w:rsidTr="614369A6" w14:paraId="020FB390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6615" w:type="dxa"/>
          </w:tcPr>
          <w:p w:rsidR="00CC58C4" w:rsidP="00CC58C4" w:rsidRDefault="00CC58C4" w14:paraId="64FEE5D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To know how to plan an effective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LOtC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activity which enables children to connect to nature and supports authentic learning in context.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CC58C4" w:rsidP="00CC58C4" w:rsidRDefault="00CC58C4" w14:paraId="21C5330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:rsidR="00CC58C4" w:rsidP="00CC58C4" w:rsidRDefault="00CC58C4" w14:paraId="2542F1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To understand that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LOtC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activities can both support a child’s academic progress and their mental well-being.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9B6F70" w:rsidR="00404424" w:rsidP="00D23486" w:rsidRDefault="00CC58C4" w14:paraId="117B26E0" w14:textId="7335010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lastRenderedPageBreak/>
              <w:t>To be able to critically analyse how their planned activity had an impact on learning</w:t>
            </w:r>
            <w:r w:rsidR="00E163F0">
              <w:rPr>
                <w:rStyle w:val="normaltextrun"/>
                <w:rFonts w:ascii="Calibri" w:hAnsi="Calibri" w:cs="Calibri"/>
              </w:rPr>
              <w:t xml:space="preserve"> - identifying</w:t>
            </w:r>
            <w:r>
              <w:rPr>
                <w:rStyle w:val="normaltextrun"/>
                <w:rFonts w:ascii="Calibri" w:hAnsi="Calibri" w:cs="Calibri"/>
              </w:rPr>
              <w:t xml:space="preserve"> the opportunities and challenges for integrating outdoor learning into the curriculum across both core and foundation subjects</w:t>
            </w:r>
            <w:r w:rsidR="00870080">
              <w:rPr>
                <w:rStyle w:val="normaltextrun"/>
                <w:rFonts w:ascii="Calibri" w:hAnsi="Calibri" w:cs="Calibri"/>
              </w:rPr>
              <w:t xml:space="preserve">, and </w:t>
            </w:r>
            <w:r w:rsidR="00E163F0">
              <w:rPr>
                <w:rStyle w:val="normaltextrun"/>
                <w:rFonts w:ascii="Calibri" w:hAnsi="Calibri" w:cs="Calibri"/>
              </w:rPr>
              <w:t xml:space="preserve">to </w:t>
            </w:r>
            <w:r w:rsidR="00870080">
              <w:rPr>
                <w:rStyle w:val="normaltextrun"/>
                <w:rFonts w:ascii="Calibri" w:hAnsi="Calibri" w:cs="Calibri"/>
              </w:rPr>
              <w:t>complet</w:t>
            </w:r>
            <w:r w:rsidR="003A5C8E">
              <w:rPr>
                <w:rStyle w:val="normaltextrun"/>
                <w:rFonts w:ascii="Calibri" w:hAnsi="Calibri" w:cs="Calibri"/>
              </w:rPr>
              <w:t>e</w:t>
            </w:r>
            <w:r w:rsidR="00870080">
              <w:rPr>
                <w:rStyle w:val="normaltextrun"/>
                <w:rFonts w:ascii="Calibri" w:hAnsi="Calibri" w:cs="Calibri"/>
              </w:rPr>
              <w:t xml:space="preserve"> a benefit, risk assessment which supports their planned </w:t>
            </w:r>
            <w:proofErr w:type="spellStart"/>
            <w:r w:rsidR="00870080">
              <w:rPr>
                <w:rStyle w:val="normaltextrun"/>
                <w:rFonts w:ascii="Calibri" w:hAnsi="Calibri" w:cs="Calibri"/>
              </w:rPr>
              <w:t>LOtC</w:t>
            </w:r>
            <w:proofErr w:type="spellEnd"/>
            <w:r w:rsidR="00870080">
              <w:rPr>
                <w:rStyle w:val="normaltextrun"/>
                <w:rFonts w:ascii="Calibri" w:hAnsi="Calibri" w:cs="Calibri"/>
              </w:rPr>
              <w:t xml:space="preserve"> activity.</w:t>
            </w:r>
          </w:p>
          <w:p w:rsidRPr="009B6F70" w:rsidR="00404424" w:rsidP="614369A6" w:rsidRDefault="00404424" w14:paraId="34239DB6" w14:textId="1DFE8662"/>
          <w:p w:rsidRPr="009B6F70" w:rsidR="00404424" w:rsidP="614369A6" w:rsidRDefault="00404424" w14:paraId="5C116A1E" w14:textId="6C81DE33"/>
          <w:p w:rsidRPr="009B6F70" w:rsidR="00404424" w:rsidP="614369A6" w:rsidRDefault="00404424" w14:paraId="3DB9816F" w14:textId="3C367616"/>
          <w:p w:rsidRPr="009B6F70" w:rsidR="00404424" w:rsidP="614369A6" w:rsidRDefault="00404424" w14:paraId="7D3D75D1" w14:textId="2C7CD59D"/>
          <w:p w:rsidRPr="009B6F70" w:rsidR="00404424" w:rsidP="614369A6" w:rsidRDefault="00404424" w14:paraId="09B42A98" w14:textId="50397597"/>
          <w:p w:rsidRPr="009B6F70" w:rsidR="00404424" w:rsidP="614369A6" w:rsidRDefault="00404424" w14:paraId="2B7AFDEA" w14:textId="1214DE85"/>
        </w:tc>
        <w:tc>
          <w:tcPr>
            <w:tcW w:w="1566" w:type="dxa"/>
          </w:tcPr>
          <w:p w:rsidRPr="00353F20" w:rsidR="00A87719" w:rsidP="2CC1C8D2" w:rsidRDefault="00CA68DE" w14:paraId="286BD460" w14:textId="15204333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4.1, 4.2, 4.3, 4.4, 4.9, 4.10, 5.7, 5.8, 5.9, 6.5, 6.6,</w:t>
            </w:r>
          </w:p>
        </w:tc>
        <w:tc>
          <w:tcPr>
            <w:tcW w:w="1701" w:type="dxa"/>
          </w:tcPr>
          <w:p w:rsidR="00747F6C" w:rsidP="00747F6C" w:rsidRDefault="00747F6C" w14:paraId="63E6BAF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5c, 5o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747F6C" w:rsidP="00747F6C" w:rsidRDefault="00747F6C" w14:paraId="259FD48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6e, 6j, 6p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747F6C" w:rsidP="00747F6C" w:rsidRDefault="00747F6C" w14:paraId="7FA7F78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7a, 7b, 7j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924759" w:rsidR="00353F20" w:rsidP="2CC1C8D2" w:rsidRDefault="00353F20" w14:paraId="6B4B34E6" w14:textId="0A97B484"/>
        </w:tc>
        <w:tc>
          <w:tcPr>
            <w:tcW w:w="2194" w:type="dxa"/>
          </w:tcPr>
          <w:p w:rsidRPr="00DA7359" w:rsidR="000B5AE1" w:rsidP="2CC1C8D2" w:rsidRDefault="00747F6C" w14:paraId="4BBF1C99" w14:textId="67CE5F96">
            <w:pPr>
              <w:rPr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King’s College London (2011) 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Understanding the diverse benefits of learning in natural environments.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Available online at: </w:t>
            </w:r>
            <w:hyperlink w:tgtFrame="_blank" w:history="1" r:id="rId16">
              <w:r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http://www.lotc.org.uk/wp-</w:t>
              </w:r>
              <w:r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lastRenderedPageBreak/>
                <w:t>content/uploads/2011/09/KCL-LINE-benefits-final-version.pdf</w:t>
              </w:r>
            </w:hyperlink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877" w:type="dxa"/>
          </w:tcPr>
          <w:p w:rsidRPr="00A84F74" w:rsidR="00747F6C" w:rsidP="00747F6C" w:rsidRDefault="00747F6C" w14:paraId="6FD276A8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lastRenderedPageBreak/>
              <w:t>WDS on Introductory Professional Practice.</w:t>
            </w:r>
          </w:p>
          <w:p w:rsidRPr="00A84F74" w:rsidR="00747F6C" w:rsidP="00747F6C" w:rsidRDefault="00747F6C" w14:paraId="781F06A9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A84F74" w:rsidR="00747F6C" w:rsidP="00747F6C" w:rsidRDefault="00747F6C" w14:paraId="594F7682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lastRenderedPageBreak/>
              <w:t xml:space="preserve">Mentor / </w:t>
            </w:r>
            <w:proofErr w:type="spellStart"/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expert colleague </w:t>
            </w:r>
          </w:p>
          <w:p w:rsidRPr="00A84F74" w:rsidR="00747F6C" w:rsidP="00747F6C" w:rsidRDefault="00747F6C" w14:paraId="58822F78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conversations.</w:t>
            </w:r>
          </w:p>
          <w:p w:rsidRPr="00A84F74" w:rsidR="00747F6C" w:rsidP="00747F6C" w:rsidRDefault="00747F6C" w14:paraId="1563EB0F" w14:textId="77777777">
            <w:pPr>
              <w:spacing w:line="259" w:lineRule="auto"/>
              <w:rPr>
                <w:rFonts w:ascii="Calibri" w:hAnsi="Calibri" w:eastAsia="Calibri" w:cs="Calibri"/>
                <w:color w:val="C00000"/>
                <w:sz w:val="24"/>
                <w:szCs w:val="24"/>
              </w:rPr>
            </w:pPr>
          </w:p>
          <w:p w:rsidRPr="00A84F74" w:rsidR="00747F6C" w:rsidP="00747F6C" w:rsidRDefault="00747F6C" w14:paraId="353D5778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Observation of pupils engaging in </w:t>
            </w:r>
            <w:proofErr w:type="spellStart"/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activities.</w:t>
            </w:r>
          </w:p>
          <w:p w:rsidRPr="00A84F74" w:rsidR="00747F6C" w:rsidP="00747F6C" w:rsidRDefault="00747F6C" w14:paraId="0D517934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A84F74" w:rsidR="00747F6C" w:rsidP="00747F6C" w:rsidRDefault="00747F6C" w14:paraId="09A374DE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Observation of expert colleagues teaching </w:t>
            </w:r>
            <w:proofErr w:type="spellStart"/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LOtC</w:t>
            </w:r>
            <w:proofErr w:type="spellEnd"/>
            <w:r w:rsidRPr="799DBC6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activities</w:t>
            </w:r>
          </w:p>
          <w:p w:rsidRPr="00A84F74" w:rsidR="00747F6C" w:rsidP="00747F6C" w:rsidRDefault="00747F6C" w14:paraId="5EC72C3B" w14:textId="77777777">
            <w:pPr>
              <w:spacing w:line="259" w:lineRule="auto"/>
              <w:rPr>
                <w:rFonts w:ascii="Calibri" w:hAnsi="Calibri" w:eastAsia="Calibri" w:cs="Calibri"/>
                <w:color w:val="C00000"/>
                <w:sz w:val="24"/>
                <w:szCs w:val="24"/>
              </w:rPr>
            </w:pPr>
          </w:p>
          <w:p w:rsidRPr="009B6F70" w:rsidR="00353F20" w:rsidP="00747F6C" w:rsidRDefault="00353F20" w14:paraId="0A0F251E" w14:textId="221FF13A">
            <w:pPr>
              <w:rPr>
                <w:sz w:val="16"/>
                <w:szCs w:val="16"/>
              </w:rPr>
            </w:pPr>
          </w:p>
        </w:tc>
      </w:tr>
    </w:tbl>
    <w:bookmarkEnd w:id="7"/>
    <w:p w:rsidRPr="009B6F70" w:rsidR="00757F1D" w:rsidP="0081084C" w:rsidRDefault="00DA7359" w14:paraId="6A0D34C7" w14:textId="2CCB8557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 xml:space="preserve"> </w:t>
      </w:r>
    </w:p>
    <w:sectPr w:rsidRPr="009B6F70" w:rsidR="00757F1D" w:rsidSect="000D42D9">
      <w:head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7369" w:rsidP="00D33357" w:rsidRDefault="00627369" w14:paraId="3807E350" w14:textId="77777777">
      <w:pPr>
        <w:spacing w:after="0" w:line="240" w:lineRule="auto"/>
      </w:pPr>
      <w:r>
        <w:separator/>
      </w:r>
    </w:p>
  </w:endnote>
  <w:endnote w:type="continuationSeparator" w:id="0">
    <w:p w:rsidR="00627369" w:rsidP="00D33357" w:rsidRDefault="00627369" w14:paraId="4F4BB967" w14:textId="77777777">
      <w:pPr>
        <w:spacing w:after="0" w:line="240" w:lineRule="auto"/>
      </w:pPr>
      <w:r>
        <w:continuationSeparator/>
      </w:r>
    </w:p>
  </w:endnote>
  <w:endnote w:type="continuationNotice" w:id="1">
    <w:p w:rsidR="00627369" w:rsidRDefault="00627369" w14:paraId="57F77EC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7369" w:rsidP="00D33357" w:rsidRDefault="00627369" w14:paraId="5B055D7D" w14:textId="77777777">
      <w:pPr>
        <w:spacing w:after="0" w:line="240" w:lineRule="auto"/>
      </w:pPr>
      <w:r>
        <w:separator/>
      </w:r>
    </w:p>
  </w:footnote>
  <w:footnote w:type="continuationSeparator" w:id="0">
    <w:p w:rsidR="00627369" w:rsidP="00D33357" w:rsidRDefault="00627369" w14:paraId="762D87AD" w14:textId="77777777">
      <w:pPr>
        <w:spacing w:after="0" w:line="240" w:lineRule="auto"/>
      </w:pPr>
      <w:r>
        <w:continuationSeparator/>
      </w:r>
    </w:p>
  </w:footnote>
  <w:footnote w:type="continuationNotice" w:id="1">
    <w:p w:rsidR="00627369" w:rsidRDefault="00627369" w14:paraId="5EA85E0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3357" w:rsidRDefault="00D33357" w14:paraId="0D93DA7D" w14:textId="41AFFFA6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7CCA"/>
    <w:multiLevelType w:val="hybridMultilevel"/>
    <w:tmpl w:val="2D86B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3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3497C2F"/>
    <w:multiLevelType w:val="multilevel"/>
    <w:tmpl w:val="BBF0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9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11" w15:restartNumberingAfterBreak="0">
    <w:nsid w:val="624E136B"/>
    <w:multiLevelType w:val="multilevel"/>
    <w:tmpl w:val="2648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4175C4"/>
    <w:multiLevelType w:val="multilevel"/>
    <w:tmpl w:val="5274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AE43E3A"/>
    <w:multiLevelType w:val="hybridMultilevel"/>
    <w:tmpl w:val="D67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242911620">
    <w:abstractNumId w:val="12"/>
  </w:num>
  <w:num w:numId="2" w16cid:durableId="1392968298">
    <w:abstractNumId w:val="1"/>
  </w:num>
  <w:num w:numId="3" w16cid:durableId="1781803602">
    <w:abstractNumId w:val="5"/>
  </w:num>
  <w:num w:numId="4" w16cid:durableId="1726752805">
    <w:abstractNumId w:val="9"/>
  </w:num>
  <w:num w:numId="5" w16cid:durableId="1833400578">
    <w:abstractNumId w:val="8"/>
  </w:num>
  <w:num w:numId="6" w16cid:durableId="2103530919">
    <w:abstractNumId w:val="10"/>
  </w:num>
  <w:num w:numId="7" w16cid:durableId="388459131">
    <w:abstractNumId w:val="7"/>
  </w:num>
  <w:num w:numId="8" w16cid:durableId="1372848725">
    <w:abstractNumId w:val="2"/>
  </w:num>
  <w:num w:numId="9" w16cid:durableId="1660766020">
    <w:abstractNumId w:val="16"/>
  </w:num>
  <w:num w:numId="10" w16cid:durableId="2074767514">
    <w:abstractNumId w:val="18"/>
  </w:num>
  <w:num w:numId="11" w16cid:durableId="1732651980">
    <w:abstractNumId w:val="15"/>
  </w:num>
  <w:num w:numId="12" w16cid:durableId="1458255300">
    <w:abstractNumId w:val="13"/>
  </w:num>
  <w:num w:numId="13" w16cid:durableId="457140212">
    <w:abstractNumId w:val="4"/>
  </w:num>
  <w:num w:numId="14" w16cid:durableId="1231501976">
    <w:abstractNumId w:val="3"/>
  </w:num>
  <w:num w:numId="15" w16cid:durableId="1918175355">
    <w:abstractNumId w:val="17"/>
  </w:num>
  <w:num w:numId="16" w16cid:durableId="1158964394">
    <w:abstractNumId w:val="0"/>
  </w:num>
  <w:num w:numId="17" w16cid:durableId="1685748352">
    <w:abstractNumId w:val="14"/>
  </w:num>
  <w:num w:numId="18" w16cid:durableId="1852063966">
    <w:abstractNumId w:val="11"/>
  </w:num>
  <w:num w:numId="19" w16cid:durableId="2029285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52EC"/>
    <w:rsid w:val="000074DC"/>
    <w:rsid w:val="000104D7"/>
    <w:rsid w:val="00012362"/>
    <w:rsid w:val="000133F2"/>
    <w:rsid w:val="00031A14"/>
    <w:rsid w:val="00032233"/>
    <w:rsid w:val="00033B51"/>
    <w:rsid w:val="0006101E"/>
    <w:rsid w:val="00070110"/>
    <w:rsid w:val="00070151"/>
    <w:rsid w:val="0008147F"/>
    <w:rsid w:val="00081693"/>
    <w:rsid w:val="0008458E"/>
    <w:rsid w:val="00093BA9"/>
    <w:rsid w:val="000A2FC8"/>
    <w:rsid w:val="000B5AE1"/>
    <w:rsid w:val="000C3589"/>
    <w:rsid w:val="000D42D9"/>
    <w:rsid w:val="000D52DF"/>
    <w:rsid w:val="000D64A0"/>
    <w:rsid w:val="000E4484"/>
    <w:rsid w:val="000E7276"/>
    <w:rsid w:val="000F19FA"/>
    <w:rsid w:val="000F4235"/>
    <w:rsid w:val="000F51E4"/>
    <w:rsid w:val="000F77AD"/>
    <w:rsid w:val="0010394E"/>
    <w:rsid w:val="00113BEE"/>
    <w:rsid w:val="00113D89"/>
    <w:rsid w:val="001150FA"/>
    <w:rsid w:val="00117C47"/>
    <w:rsid w:val="00120799"/>
    <w:rsid w:val="001225BB"/>
    <w:rsid w:val="001323F0"/>
    <w:rsid w:val="00136076"/>
    <w:rsid w:val="00137E24"/>
    <w:rsid w:val="00141216"/>
    <w:rsid w:val="00145137"/>
    <w:rsid w:val="0014523D"/>
    <w:rsid w:val="00153036"/>
    <w:rsid w:val="00153802"/>
    <w:rsid w:val="001579FB"/>
    <w:rsid w:val="00180374"/>
    <w:rsid w:val="00180818"/>
    <w:rsid w:val="0018552D"/>
    <w:rsid w:val="00191E4F"/>
    <w:rsid w:val="001923A7"/>
    <w:rsid w:val="001963E6"/>
    <w:rsid w:val="001A1D34"/>
    <w:rsid w:val="001D3AAB"/>
    <w:rsid w:val="001D4A83"/>
    <w:rsid w:val="001D6CFE"/>
    <w:rsid w:val="001D764B"/>
    <w:rsid w:val="001E2E3B"/>
    <w:rsid w:val="001E5100"/>
    <w:rsid w:val="00200797"/>
    <w:rsid w:val="00223EE0"/>
    <w:rsid w:val="00231406"/>
    <w:rsid w:val="00236398"/>
    <w:rsid w:val="002415F5"/>
    <w:rsid w:val="00241F70"/>
    <w:rsid w:val="00254CA2"/>
    <w:rsid w:val="0025609D"/>
    <w:rsid w:val="00257B79"/>
    <w:rsid w:val="00267275"/>
    <w:rsid w:val="0027387C"/>
    <w:rsid w:val="00274D97"/>
    <w:rsid w:val="002925C5"/>
    <w:rsid w:val="002A18FE"/>
    <w:rsid w:val="002A2FFB"/>
    <w:rsid w:val="002B1337"/>
    <w:rsid w:val="002B344B"/>
    <w:rsid w:val="002B53B4"/>
    <w:rsid w:val="002B5891"/>
    <w:rsid w:val="002B68FB"/>
    <w:rsid w:val="002C0FB3"/>
    <w:rsid w:val="002C2C57"/>
    <w:rsid w:val="002C4CD4"/>
    <w:rsid w:val="002C694E"/>
    <w:rsid w:val="002D167D"/>
    <w:rsid w:val="002D5BC6"/>
    <w:rsid w:val="002E4D91"/>
    <w:rsid w:val="002E6564"/>
    <w:rsid w:val="002F05B3"/>
    <w:rsid w:val="002F2ACB"/>
    <w:rsid w:val="002F3793"/>
    <w:rsid w:val="00301974"/>
    <w:rsid w:val="00303058"/>
    <w:rsid w:val="003057EC"/>
    <w:rsid w:val="00320700"/>
    <w:rsid w:val="00336978"/>
    <w:rsid w:val="00353A34"/>
    <w:rsid w:val="00353F20"/>
    <w:rsid w:val="0035496C"/>
    <w:rsid w:val="00355346"/>
    <w:rsid w:val="00365BDB"/>
    <w:rsid w:val="00376116"/>
    <w:rsid w:val="00391AA7"/>
    <w:rsid w:val="003A2A98"/>
    <w:rsid w:val="003A5C8E"/>
    <w:rsid w:val="003B3F79"/>
    <w:rsid w:val="003B435B"/>
    <w:rsid w:val="003B76B2"/>
    <w:rsid w:val="003C0367"/>
    <w:rsid w:val="003D7431"/>
    <w:rsid w:val="00404424"/>
    <w:rsid w:val="004132F6"/>
    <w:rsid w:val="00417175"/>
    <w:rsid w:val="00421878"/>
    <w:rsid w:val="0042618B"/>
    <w:rsid w:val="0043041E"/>
    <w:rsid w:val="004371C1"/>
    <w:rsid w:val="00445432"/>
    <w:rsid w:val="004534A9"/>
    <w:rsid w:val="00454ECA"/>
    <w:rsid w:val="00456EFE"/>
    <w:rsid w:val="004575C3"/>
    <w:rsid w:val="0047246B"/>
    <w:rsid w:val="00480E6F"/>
    <w:rsid w:val="004812CF"/>
    <w:rsid w:val="0048405A"/>
    <w:rsid w:val="00485723"/>
    <w:rsid w:val="00494B59"/>
    <w:rsid w:val="004A490C"/>
    <w:rsid w:val="004B1A0D"/>
    <w:rsid w:val="004C73E6"/>
    <w:rsid w:val="004D580A"/>
    <w:rsid w:val="004D5B26"/>
    <w:rsid w:val="004D5FDA"/>
    <w:rsid w:val="004D6F6C"/>
    <w:rsid w:val="004E14B1"/>
    <w:rsid w:val="004E37CD"/>
    <w:rsid w:val="004E3A82"/>
    <w:rsid w:val="0050097F"/>
    <w:rsid w:val="00505372"/>
    <w:rsid w:val="00505550"/>
    <w:rsid w:val="00507F3E"/>
    <w:rsid w:val="00513D8E"/>
    <w:rsid w:val="005144E4"/>
    <w:rsid w:val="00515568"/>
    <w:rsid w:val="00517951"/>
    <w:rsid w:val="005201A9"/>
    <w:rsid w:val="00520D48"/>
    <w:rsid w:val="005263DC"/>
    <w:rsid w:val="00531976"/>
    <w:rsid w:val="00536B6F"/>
    <w:rsid w:val="00552235"/>
    <w:rsid w:val="005618F0"/>
    <w:rsid w:val="00567659"/>
    <w:rsid w:val="00570238"/>
    <w:rsid w:val="00575136"/>
    <w:rsid w:val="00590EBE"/>
    <w:rsid w:val="0059304C"/>
    <w:rsid w:val="00594068"/>
    <w:rsid w:val="005975C4"/>
    <w:rsid w:val="005A3E89"/>
    <w:rsid w:val="005A3FDA"/>
    <w:rsid w:val="005A4ED3"/>
    <w:rsid w:val="005A7C47"/>
    <w:rsid w:val="005B129F"/>
    <w:rsid w:val="005C3A8B"/>
    <w:rsid w:val="005C415E"/>
    <w:rsid w:val="005C428B"/>
    <w:rsid w:val="005C744A"/>
    <w:rsid w:val="005D2E8F"/>
    <w:rsid w:val="005E091A"/>
    <w:rsid w:val="00600896"/>
    <w:rsid w:val="0061311A"/>
    <w:rsid w:val="0061394C"/>
    <w:rsid w:val="00620A02"/>
    <w:rsid w:val="0062430D"/>
    <w:rsid w:val="00627369"/>
    <w:rsid w:val="00634802"/>
    <w:rsid w:val="006352ED"/>
    <w:rsid w:val="00637C12"/>
    <w:rsid w:val="00653369"/>
    <w:rsid w:val="00663995"/>
    <w:rsid w:val="00664D0C"/>
    <w:rsid w:val="00665D7D"/>
    <w:rsid w:val="0067154D"/>
    <w:rsid w:val="00687ED4"/>
    <w:rsid w:val="006A755B"/>
    <w:rsid w:val="006B4197"/>
    <w:rsid w:val="006B4CBA"/>
    <w:rsid w:val="006C3065"/>
    <w:rsid w:val="006C3B70"/>
    <w:rsid w:val="006D0DDF"/>
    <w:rsid w:val="006D12F4"/>
    <w:rsid w:val="006D1BC6"/>
    <w:rsid w:val="006D3923"/>
    <w:rsid w:val="006F3C6A"/>
    <w:rsid w:val="00700424"/>
    <w:rsid w:val="007041FF"/>
    <w:rsid w:val="0070540F"/>
    <w:rsid w:val="00710F19"/>
    <w:rsid w:val="00731BCC"/>
    <w:rsid w:val="007324CD"/>
    <w:rsid w:val="0073250C"/>
    <w:rsid w:val="00742A0A"/>
    <w:rsid w:val="007461DF"/>
    <w:rsid w:val="00747F6C"/>
    <w:rsid w:val="00756195"/>
    <w:rsid w:val="00757F1D"/>
    <w:rsid w:val="00771CFA"/>
    <w:rsid w:val="0078198F"/>
    <w:rsid w:val="00781D01"/>
    <w:rsid w:val="00783F70"/>
    <w:rsid w:val="00791DC7"/>
    <w:rsid w:val="007955A7"/>
    <w:rsid w:val="007A051B"/>
    <w:rsid w:val="007B266F"/>
    <w:rsid w:val="007C29FE"/>
    <w:rsid w:val="007D048D"/>
    <w:rsid w:val="007D7689"/>
    <w:rsid w:val="007E887F"/>
    <w:rsid w:val="007F31FC"/>
    <w:rsid w:val="007F575D"/>
    <w:rsid w:val="0080443B"/>
    <w:rsid w:val="00804839"/>
    <w:rsid w:val="008105FF"/>
    <w:rsid w:val="0081084C"/>
    <w:rsid w:val="0082304A"/>
    <w:rsid w:val="00824687"/>
    <w:rsid w:val="00836DC8"/>
    <w:rsid w:val="00844160"/>
    <w:rsid w:val="0084480C"/>
    <w:rsid w:val="00851110"/>
    <w:rsid w:val="00852AC5"/>
    <w:rsid w:val="0086494C"/>
    <w:rsid w:val="00866ACA"/>
    <w:rsid w:val="00870080"/>
    <w:rsid w:val="00882900"/>
    <w:rsid w:val="008952FD"/>
    <w:rsid w:val="00897D40"/>
    <w:rsid w:val="00897EEC"/>
    <w:rsid w:val="008A6BDE"/>
    <w:rsid w:val="008B6642"/>
    <w:rsid w:val="008C1B6D"/>
    <w:rsid w:val="008D0892"/>
    <w:rsid w:val="009058C9"/>
    <w:rsid w:val="00906115"/>
    <w:rsid w:val="00914503"/>
    <w:rsid w:val="00916E30"/>
    <w:rsid w:val="00924759"/>
    <w:rsid w:val="0093067E"/>
    <w:rsid w:val="00935A53"/>
    <w:rsid w:val="009427B6"/>
    <w:rsid w:val="00945359"/>
    <w:rsid w:val="00955CDE"/>
    <w:rsid w:val="009633FF"/>
    <w:rsid w:val="00976CCD"/>
    <w:rsid w:val="0098112A"/>
    <w:rsid w:val="00992F5B"/>
    <w:rsid w:val="009A04FD"/>
    <w:rsid w:val="009B1B0A"/>
    <w:rsid w:val="009B3281"/>
    <w:rsid w:val="009B5DCB"/>
    <w:rsid w:val="009B6F70"/>
    <w:rsid w:val="009E1D44"/>
    <w:rsid w:val="009F0B14"/>
    <w:rsid w:val="009F0F4F"/>
    <w:rsid w:val="00A029D6"/>
    <w:rsid w:val="00A07B46"/>
    <w:rsid w:val="00A10021"/>
    <w:rsid w:val="00A13389"/>
    <w:rsid w:val="00A214EA"/>
    <w:rsid w:val="00A24A85"/>
    <w:rsid w:val="00A25062"/>
    <w:rsid w:val="00A40FDA"/>
    <w:rsid w:val="00A41CE7"/>
    <w:rsid w:val="00A46EA6"/>
    <w:rsid w:val="00A500A6"/>
    <w:rsid w:val="00A5712B"/>
    <w:rsid w:val="00A619D2"/>
    <w:rsid w:val="00A624F0"/>
    <w:rsid w:val="00A63214"/>
    <w:rsid w:val="00A77E76"/>
    <w:rsid w:val="00A84F74"/>
    <w:rsid w:val="00A85691"/>
    <w:rsid w:val="00A87719"/>
    <w:rsid w:val="00AA13FD"/>
    <w:rsid w:val="00AC39A6"/>
    <w:rsid w:val="00AD238B"/>
    <w:rsid w:val="00AD349A"/>
    <w:rsid w:val="00AE115D"/>
    <w:rsid w:val="00AF3A47"/>
    <w:rsid w:val="00AF7DCF"/>
    <w:rsid w:val="00B07754"/>
    <w:rsid w:val="00B1137C"/>
    <w:rsid w:val="00B13E1E"/>
    <w:rsid w:val="00B1470F"/>
    <w:rsid w:val="00B249AC"/>
    <w:rsid w:val="00B32935"/>
    <w:rsid w:val="00B44BAE"/>
    <w:rsid w:val="00B50B37"/>
    <w:rsid w:val="00B541EA"/>
    <w:rsid w:val="00B6181D"/>
    <w:rsid w:val="00B64096"/>
    <w:rsid w:val="00B678BC"/>
    <w:rsid w:val="00B70532"/>
    <w:rsid w:val="00B872C9"/>
    <w:rsid w:val="00BC2F85"/>
    <w:rsid w:val="00BC7393"/>
    <w:rsid w:val="00BE2D13"/>
    <w:rsid w:val="00BE2E26"/>
    <w:rsid w:val="00BF2A2C"/>
    <w:rsid w:val="00BF74B3"/>
    <w:rsid w:val="00BF76BC"/>
    <w:rsid w:val="00C03775"/>
    <w:rsid w:val="00C044CF"/>
    <w:rsid w:val="00C04C87"/>
    <w:rsid w:val="00C14969"/>
    <w:rsid w:val="00C165EC"/>
    <w:rsid w:val="00C2028E"/>
    <w:rsid w:val="00C30F12"/>
    <w:rsid w:val="00C32085"/>
    <w:rsid w:val="00C40E69"/>
    <w:rsid w:val="00C42BDB"/>
    <w:rsid w:val="00C61BA0"/>
    <w:rsid w:val="00C66673"/>
    <w:rsid w:val="00C6713A"/>
    <w:rsid w:val="00C74802"/>
    <w:rsid w:val="00C96181"/>
    <w:rsid w:val="00CA68DE"/>
    <w:rsid w:val="00CA6B81"/>
    <w:rsid w:val="00CA7724"/>
    <w:rsid w:val="00CB2A23"/>
    <w:rsid w:val="00CC58C4"/>
    <w:rsid w:val="00CD707D"/>
    <w:rsid w:val="00CE3927"/>
    <w:rsid w:val="00CE47B9"/>
    <w:rsid w:val="00CE6F8D"/>
    <w:rsid w:val="00D0275F"/>
    <w:rsid w:val="00D102FA"/>
    <w:rsid w:val="00D23486"/>
    <w:rsid w:val="00D33357"/>
    <w:rsid w:val="00D37BC4"/>
    <w:rsid w:val="00D5161E"/>
    <w:rsid w:val="00D5472B"/>
    <w:rsid w:val="00D57E0F"/>
    <w:rsid w:val="00D73F05"/>
    <w:rsid w:val="00D83137"/>
    <w:rsid w:val="00D84F89"/>
    <w:rsid w:val="00D86E05"/>
    <w:rsid w:val="00D87DF4"/>
    <w:rsid w:val="00D925C3"/>
    <w:rsid w:val="00DA7359"/>
    <w:rsid w:val="00DB5AD3"/>
    <w:rsid w:val="00DC0BE1"/>
    <w:rsid w:val="00DD3141"/>
    <w:rsid w:val="00DD3680"/>
    <w:rsid w:val="00DD6AB7"/>
    <w:rsid w:val="00DE1172"/>
    <w:rsid w:val="00DE15EC"/>
    <w:rsid w:val="00DE1F0E"/>
    <w:rsid w:val="00E018E6"/>
    <w:rsid w:val="00E01B38"/>
    <w:rsid w:val="00E03DBB"/>
    <w:rsid w:val="00E04E56"/>
    <w:rsid w:val="00E163F0"/>
    <w:rsid w:val="00E16EAF"/>
    <w:rsid w:val="00E22A6D"/>
    <w:rsid w:val="00E35E15"/>
    <w:rsid w:val="00E4403A"/>
    <w:rsid w:val="00E724E7"/>
    <w:rsid w:val="00E76B3A"/>
    <w:rsid w:val="00E97263"/>
    <w:rsid w:val="00EA0DB6"/>
    <w:rsid w:val="00EA2FA9"/>
    <w:rsid w:val="00EB48FA"/>
    <w:rsid w:val="00EB65A6"/>
    <w:rsid w:val="00EB7504"/>
    <w:rsid w:val="00EC46C9"/>
    <w:rsid w:val="00EC536A"/>
    <w:rsid w:val="00ED09EE"/>
    <w:rsid w:val="00EF2C86"/>
    <w:rsid w:val="00EF5C1C"/>
    <w:rsid w:val="00F10E6C"/>
    <w:rsid w:val="00F10ECA"/>
    <w:rsid w:val="00F222B9"/>
    <w:rsid w:val="00F253AC"/>
    <w:rsid w:val="00F323CB"/>
    <w:rsid w:val="00F43C17"/>
    <w:rsid w:val="00F45ECE"/>
    <w:rsid w:val="00F56AFA"/>
    <w:rsid w:val="00F60FD4"/>
    <w:rsid w:val="00F76E3A"/>
    <w:rsid w:val="00FA6853"/>
    <w:rsid w:val="00FB4E81"/>
    <w:rsid w:val="00FB4FF0"/>
    <w:rsid w:val="00FE2B7E"/>
    <w:rsid w:val="01C8AB99"/>
    <w:rsid w:val="01FA8850"/>
    <w:rsid w:val="0262B012"/>
    <w:rsid w:val="02B3A96C"/>
    <w:rsid w:val="0303C536"/>
    <w:rsid w:val="032F097D"/>
    <w:rsid w:val="034B27FA"/>
    <w:rsid w:val="044AC7A6"/>
    <w:rsid w:val="04851810"/>
    <w:rsid w:val="048A92AC"/>
    <w:rsid w:val="0525C9A1"/>
    <w:rsid w:val="064BC61E"/>
    <w:rsid w:val="06F34F4B"/>
    <w:rsid w:val="092A1F4C"/>
    <w:rsid w:val="09D39B54"/>
    <w:rsid w:val="0ACC796E"/>
    <w:rsid w:val="0B16AA9D"/>
    <w:rsid w:val="0B3E6C07"/>
    <w:rsid w:val="0B6251FB"/>
    <w:rsid w:val="0D06860A"/>
    <w:rsid w:val="0F2C2A8C"/>
    <w:rsid w:val="0FF7C876"/>
    <w:rsid w:val="1043F854"/>
    <w:rsid w:val="10B6BC62"/>
    <w:rsid w:val="10EF2C18"/>
    <w:rsid w:val="1265E921"/>
    <w:rsid w:val="12E138D4"/>
    <w:rsid w:val="135086E9"/>
    <w:rsid w:val="1369DE30"/>
    <w:rsid w:val="139BA396"/>
    <w:rsid w:val="13F8FE73"/>
    <w:rsid w:val="13FE64B0"/>
    <w:rsid w:val="1425632E"/>
    <w:rsid w:val="146874DB"/>
    <w:rsid w:val="14A7109F"/>
    <w:rsid w:val="152F3CE5"/>
    <w:rsid w:val="1560122E"/>
    <w:rsid w:val="15D9A03F"/>
    <w:rsid w:val="15F1B55A"/>
    <w:rsid w:val="166DD897"/>
    <w:rsid w:val="16CF8B8A"/>
    <w:rsid w:val="174DE022"/>
    <w:rsid w:val="18D26B98"/>
    <w:rsid w:val="1955AEE2"/>
    <w:rsid w:val="19DDB2E0"/>
    <w:rsid w:val="1A0424C0"/>
    <w:rsid w:val="1AA07B53"/>
    <w:rsid w:val="1AD0795C"/>
    <w:rsid w:val="1AF5B30B"/>
    <w:rsid w:val="1B2F746B"/>
    <w:rsid w:val="1B5AB79D"/>
    <w:rsid w:val="1BCE8C41"/>
    <w:rsid w:val="1BF81B58"/>
    <w:rsid w:val="1C10AFF2"/>
    <w:rsid w:val="1C13DCBB"/>
    <w:rsid w:val="1D4AAD8A"/>
    <w:rsid w:val="1D6DBADC"/>
    <w:rsid w:val="1D83A51D"/>
    <w:rsid w:val="20D5928B"/>
    <w:rsid w:val="220AC0D9"/>
    <w:rsid w:val="225F9113"/>
    <w:rsid w:val="226223E1"/>
    <w:rsid w:val="2263AC92"/>
    <w:rsid w:val="2303F01F"/>
    <w:rsid w:val="246C884C"/>
    <w:rsid w:val="24712188"/>
    <w:rsid w:val="249A6EF1"/>
    <w:rsid w:val="251B5777"/>
    <w:rsid w:val="25CA5632"/>
    <w:rsid w:val="25DF81E2"/>
    <w:rsid w:val="26BAC876"/>
    <w:rsid w:val="2706DBA2"/>
    <w:rsid w:val="2778DA71"/>
    <w:rsid w:val="278D69A1"/>
    <w:rsid w:val="27FBB291"/>
    <w:rsid w:val="28159C1B"/>
    <w:rsid w:val="28819A2A"/>
    <w:rsid w:val="28E0A964"/>
    <w:rsid w:val="2A6FC506"/>
    <w:rsid w:val="2AE56597"/>
    <w:rsid w:val="2AF28664"/>
    <w:rsid w:val="2BD4B2FE"/>
    <w:rsid w:val="2C3B77DE"/>
    <w:rsid w:val="2C6FFDF0"/>
    <w:rsid w:val="2CC1C8D2"/>
    <w:rsid w:val="2D1E8CF4"/>
    <w:rsid w:val="2D82A63C"/>
    <w:rsid w:val="2D89C483"/>
    <w:rsid w:val="2DB22C8E"/>
    <w:rsid w:val="2ED3E0B4"/>
    <w:rsid w:val="2F2CF6A5"/>
    <w:rsid w:val="2F2E7DA2"/>
    <w:rsid w:val="2F5F3E80"/>
    <w:rsid w:val="2F95B025"/>
    <w:rsid w:val="2FF21995"/>
    <w:rsid w:val="2FF51420"/>
    <w:rsid w:val="30300968"/>
    <w:rsid w:val="3182E524"/>
    <w:rsid w:val="320BF9C2"/>
    <w:rsid w:val="3265220F"/>
    <w:rsid w:val="32AB9C9C"/>
    <w:rsid w:val="33E4AE28"/>
    <w:rsid w:val="33E4D3A2"/>
    <w:rsid w:val="33F5E365"/>
    <w:rsid w:val="34B5B800"/>
    <w:rsid w:val="3528236C"/>
    <w:rsid w:val="3617A535"/>
    <w:rsid w:val="362A5A9F"/>
    <w:rsid w:val="36457FDE"/>
    <w:rsid w:val="36DB5170"/>
    <w:rsid w:val="38EC779B"/>
    <w:rsid w:val="39AF02D6"/>
    <w:rsid w:val="39E27AD4"/>
    <w:rsid w:val="3ACAE55D"/>
    <w:rsid w:val="3BDD47DA"/>
    <w:rsid w:val="3BF5672B"/>
    <w:rsid w:val="3C37F2C6"/>
    <w:rsid w:val="3C71EF36"/>
    <w:rsid w:val="3D03C899"/>
    <w:rsid w:val="3D3AF63F"/>
    <w:rsid w:val="3D8CA66E"/>
    <w:rsid w:val="3E24C443"/>
    <w:rsid w:val="3E605743"/>
    <w:rsid w:val="3E927F71"/>
    <w:rsid w:val="3F43B062"/>
    <w:rsid w:val="3F4566C6"/>
    <w:rsid w:val="3FB68509"/>
    <w:rsid w:val="3FEBE497"/>
    <w:rsid w:val="3FF16E1C"/>
    <w:rsid w:val="405FE74D"/>
    <w:rsid w:val="408D5BD4"/>
    <w:rsid w:val="40CAADCE"/>
    <w:rsid w:val="429ACEE3"/>
    <w:rsid w:val="42C9DA26"/>
    <w:rsid w:val="445DCA82"/>
    <w:rsid w:val="44CB47EC"/>
    <w:rsid w:val="44F5F65B"/>
    <w:rsid w:val="450C6E13"/>
    <w:rsid w:val="45318FDD"/>
    <w:rsid w:val="45ABDF84"/>
    <w:rsid w:val="462396D4"/>
    <w:rsid w:val="46DD46FB"/>
    <w:rsid w:val="47FB2978"/>
    <w:rsid w:val="48AC093A"/>
    <w:rsid w:val="48B69379"/>
    <w:rsid w:val="49F8C662"/>
    <w:rsid w:val="4AFDA25B"/>
    <w:rsid w:val="4CC63100"/>
    <w:rsid w:val="4DAC3C77"/>
    <w:rsid w:val="4E8A41C8"/>
    <w:rsid w:val="4F566CB7"/>
    <w:rsid w:val="505FAA11"/>
    <w:rsid w:val="50A2AF51"/>
    <w:rsid w:val="511AB57E"/>
    <w:rsid w:val="514FFC12"/>
    <w:rsid w:val="51D86F96"/>
    <w:rsid w:val="51E6F9DA"/>
    <w:rsid w:val="52FC3B0B"/>
    <w:rsid w:val="53BD08EA"/>
    <w:rsid w:val="55754FBB"/>
    <w:rsid w:val="55C0F556"/>
    <w:rsid w:val="560FE706"/>
    <w:rsid w:val="56628766"/>
    <w:rsid w:val="589622CE"/>
    <w:rsid w:val="59ACD718"/>
    <w:rsid w:val="59BC62CD"/>
    <w:rsid w:val="5A815224"/>
    <w:rsid w:val="5AFFFF37"/>
    <w:rsid w:val="5B0D7A18"/>
    <w:rsid w:val="5B375AB8"/>
    <w:rsid w:val="5B739284"/>
    <w:rsid w:val="5CC1479B"/>
    <w:rsid w:val="5D2BBBC6"/>
    <w:rsid w:val="5D943AEC"/>
    <w:rsid w:val="5DCF0113"/>
    <w:rsid w:val="5DE82113"/>
    <w:rsid w:val="5E4A9761"/>
    <w:rsid w:val="5F3600DA"/>
    <w:rsid w:val="5F6444D3"/>
    <w:rsid w:val="5F8F0D88"/>
    <w:rsid w:val="5FD67274"/>
    <w:rsid w:val="5FDBF982"/>
    <w:rsid w:val="60391BC9"/>
    <w:rsid w:val="614369A6"/>
    <w:rsid w:val="61D7473F"/>
    <w:rsid w:val="6224EFE0"/>
    <w:rsid w:val="628F5CEB"/>
    <w:rsid w:val="62AED435"/>
    <w:rsid w:val="62F709A2"/>
    <w:rsid w:val="644677CF"/>
    <w:rsid w:val="645603DB"/>
    <w:rsid w:val="645FD758"/>
    <w:rsid w:val="647E7509"/>
    <w:rsid w:val="65E384C4"/>
    <w:rsid w:val="664E12F2"/>
    <w:rsid w:val="667DD250"/>
    <w:rsid w:val="67095EB2"/>
    <w:rsid w:val="677162AC"/>
    <w:rsid w:val="68059644"/>
    <w:rsid w:val="68460032"/>
    <w:rsid w:val="692D4AE0"/>
    <w:rsid w:val="6A4AF4D1"/>
    <w:rsid w:val="6B01CCC5"/>
    <w:rsid w:val="6B75BB66"/>
    <w:rsid w:val="6C38D199"/>
    <w:rsid w:val="6C3E6FAD"/>
    <w:rsid w:val="6C42CEC6"/>
    <w:rsid w:val="6C5BC61E"/>
    <w:rsid w:val="6D305904"/>
    <w:rsid w:val="6DAFBA3B"/>
    <w:rsid w:val="6E307635"/>
    <w:rsid w:val="6F281B97"/>
    <w:rsid w:val="6F5E02A5"/>
    <w:rsid w:val="6FE9C56B"/>
    <w:rsid w:val="70740435"/>
    <w:rsid w:val="707D4E22"/>
    <w:rsid w:val="70C25966"/>
    <w:rsid w:val="71A1A436"/>
    <w:rsid w:val="71C4D453"/>
    <w:rsid w:val="71C5918F"/>
    <w:rsid w:val="71FDD19F"/>
    <w:rsid w:val="72611459"/>
    <w:rsid w:val="72617E90"/>
    <w:rsid w:val="72696754"/>
    <w:rsid w:val="73844C0E"/>
    <w:rsid w:val="738F382D"/>
    <w:rsid w:val="73C68611"/>
    <w:rsid w:val="746ED7DC"/>
    <w:rsid w:val="749010B1"/>
    <w:rsid w:val="74D8DAC5"/>
    <w:rsid w:val="74FF2550"/>
    <w:rsid w:val="75984CCB"/>
    <w:rsid w:val="75B98AFB"/>
    <w:rsid w:val="76A6C60E"/>
    <w:rsid w:val="76BC60A9"/>
    <w:rsid w:val="76F0DF8C"/>
    <w:rsid w:val="77CE08C5"/>
    <w:rsid w:val="77FE5788"/>
    <w:rsid w:val="7880477A"/>
    <w:rsid w:val="799DBC6D"/>
    <w:rsid w:val="7A9E29C6"/>
    <w:rsid w:val="7AC1E251"/>
    <w:rsid w:val="7B2D917E"/>
    <w:rsid w:val="7BAA5431"/>
    <w:rsid w:val="7BC54893"/>
    <w:rsid w:val="7BDC1A77"/>
    <w:rsid w:val="7C04432A"/>
    <w:rsid w:val="7C3E06FA"/>
    <w:rsid w:val="7E26F138"/>
    <w:rsid w:val="7E8BDF36"/>
    <w:rsid w:val="7E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styleId="markedcontent" w:customStyle="1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paragraph" w:customStyle="1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371C1"/>
  </w:style>
  <w:style w:type="character" w:styleId="eop" w:customStyle="1">
    <w:name w:val="eop"/>
    <w:basedOn w:val="DefaultParagraphFont"/>
    <w:rsid w:val="004371C1"/>
  </w:style>
  <w:style w:type="character" w:styleId="scxw113602065" w:customStyle="1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0E6C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10E6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cxw94222404" w:customStyle="1">
    <w:name w:val="scxw94222404"/>
    <w:basedOn w:val="DefaultParagraphFont"/>
    <w:rsid w:val="004C73E6"/>
  </w:style>
  <w:style w:type="character" w:styleId="scxw215751622" w:customStyle="1">
    <w:name w:val="scxw215751622"/>
    <w:basedOn w:val="DefaultParagraphFont"/>
    <w:rsid w:val="007C29FE"/>
  </w:style>
  <w:style w:type="character" w:styleId="scxw114759036" w:customStyle="1">
    <w:name w:val="scxw114759036"/>
    <w:basedOn w:val="DefaultParagraphFont"/>
    <w:rsid w:val="0089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journals.sagepub.com/doi/full/10.1177/0885412215595441%20on%20October%202022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://www.lotc.org.uk/wp-content/uploads/2011/09/KCL-LINE-benefits-final-version.pdf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www.gov.uk/government/publications/sustainability-and-climate-change-strategy/sustainability-and-climate-change-a-strategy-for-the-education-and-childrens-services-systems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gov.uk/government/publications/sustainability-and-climate-change-strategy/sustainability-and-climate-change-a-strategy-for-the-education-and-childrens-services-systems" TargetMode="External" Id="rId14" /><Relationship Type="http://schemas.openxmlformats.org/officeDocument/2006/relationships/hyperlink" Target="https://thegrowingschoolsgarden.org.uk/downloads/lotc-manifesto.pdf" TargetMode="External" Id="R1fb231e059494cc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253f297d-9a36-4c25-8212-c09578b9df7c"/>
  </ds:schemaRefs>
</ds:datastoreItem>
</file>

<file path=customXml/itemProps4.xml><?xml version="1.0" encoding="utf-8"?>
<ds:datastoreItem xmlns:ds="http://schemas.openxmlformats.org/officeDocument/2006/customXml" ds:itemID="{34E46C08-548B-47FA-A6AA-1D2BC77767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Casey</dc:creator>
  <keywords/>
  <dc:description/>
  <lastModifiedBy>Yvonne Shone</lastModifiedBy>
  <revision>37</revision>
  <dcterms:created xsi:type="dcterms:W3CDTF">2024-07-23T08:34:00.0000000Z</dcterms:created>
  <dcterms:modified xsi:type="dcterms:W3CDTF">2024-07-25T11:14:40.1872506Z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