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6CB1F9E5">
      <w:pPr>
        <w:jc w:val="center"/>
        <w:rPr>
          <w:b/>
          <w:bCs/>
          <w:sz w:val="24"/>
          <w:szCs w:val="24"/>
          <w:u w:val="single"/>
        </w:rPr>
      </w:pPr>
      <w:r w:rsidRPr="1B2F746B">
        <w:rPr>
          <w:b/>
          <w:bCs/>
          <w:sz w:val="24"/>
          <w:szCs w:val="24"/>
          <w:u w:val="single"/>
        </w:rPr>
        <w:t xml:space="preserve">Primary </w:t>
      </w:r>
      <w:r w:rsidRPr="1B2F746B" w:rsidR="00C6713A">
        <w:rPr>
          <w:b/>
          <w:bCs/>
          <w:sz w:val="24"/>
          <w:szCs w:val="24"/>
          <w:u w:val="single"/>
        </w:rPr>
        <w:t xml:space="preserve">Curriculum Map </w:t>
      </w:r>
      <w:r w:rsidR="000D52DF">
        <w:rPr>
          <w:b/>
          <w:bCs/>
          <w:sz w:val="24"/>
          <w:szCs w:val="24"/>
          <w:u w:val="single"/>
        </w:rPr>
        <w:t>–</w:t>
      </w:r>
      <w:r w:rsidR="00A41CE7">
        <w:rPr>
          <w:b/>
          <w:bCs/>
          <w:sz w:val="24"/>
          <w:szCs w:val="24"/>
          <w:u w:val="single"/>
        </w:rPr>
        <w:t xml:space="preserve"> L</w:t>
      </w:r>
      <w:r w:rsidR="000D52DF">
        <w:rPr>
          <w:b/>
          <w:bCs/>
          <w:sz w:val="24"/>
          <w:szCs w:val="24"/>
          <w:u w:val="single"/>
        </w:rPr>
        <w:t xml:space="preserve">earning Outside the Classroom </w:t>
      </w:r>
      <w:r w:rsidRPr="1B2F746B" w:rsidR="77FE5788">
        <w:rPr>
          <w:b/>
          <w:bCs/>
          <w:sz w:val="24"/>
          <w:szCs w:val="24"/>
          <w:u w:val="single"/>
        </w:rPr>
        <w:t>S</w:t>
      </w:r>
      <w:r w:rsidRPr="1B2F746B" w:rsidR="6DAFBA3B">
        <w:rPr>
          <w:b/>
          <w:bCs/>
          <w:sz w:val="24"/>
          <w:szCs w:val="24"/>
          <w:u w:val="single"/>
        </w:rPr>
        <w:t>trand</w:t>
      </w:r>
      <w:r w:rsidR="00A41CE7">
        <w:rPr>
          <w:b/>
          <w:bCs/>
          <w:sz w:val="24"/>
          <w:szCs w:val="24"/>
          <w:u w:val="single"/>
        </w:rPr>
        <w:t xml:space="preserve"> 2024/25</w:t>
      </w:r>
    </w:p>
    <w:p w:rsidRPr="00353F20" w:rsidR="003D7431" w:rsidP="3BB5CD7A" w:rsidRDefault="00AF3A47" w14:paraId="63254608" w14:textId="07153219">
      <w:pPr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r w:rsidRPr="3BB5CD7A" w:rsidR="00AF3A47">
        <w:rPr>
          <w:b w:val="1"/>
          <w:bCs w:val="1"/>
          <w:i w:val="1"/>
          <w:iCs w:val="1"/>
          <w:sz w:val="24"/>
          <w:szCs w:val="24"/>
          <w:u w:val="single"/>
        </w:rPr>
        <w:t>Year 1</w:t>
      </w:r>
      <w:r w:rsidRPr="3BB5CD7A" w:rsidR="006D12F4">
        <w:rPr>
          <w:b w:val="1"/>
          <w:bCs w:val="1"/>
          <w:i w:val="1"/>
          <w:iCs w:val="1"/>
          <w:sz w:val="24"/>
          <w:szCs w:val="24"/>
          <w:u w:val="single"/>
        </w:rPr>
        <w:t xml:space="preserve"> Undergraduate</w:t>
      </w:r>
      <w:r w:rsidRPr="3BB5CD7A" w:rsidR="00AF3A47">
        <w:rPr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3BB5CD7A" w:rsidR="2BF5C702">
        <w:rPr>
          <w:b w:val="1"/>
          <w:bCs w:val="1"/>
          <w:i w:val="1"/>
          <w:iCs w:val="1"/>
          <w:sz w:val="24"/>
          <w:szCs w:val="24"/>
          <w:u w:val="single"/>
        </w:rPr>
        <w:t>School Based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271"/>
        <w:gridCol w:w="4536"/>
        <w:gridCol w:w="1418"/>
        <w:gridCol w:w="1417"/>
        <w:gridCol w:w="3402"/>
        <w:gridCol w:w="1904"/>
      </w:tblGrid>
      <w:tr w:rsidRPr="00600896" w:rsidR="003B3F79" w:rsidTr="799DBC6D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00896" w:rsidR="003B3F79" w:rsidP="006D12F4" w:rsidRDefault="003B3F79" w14:paraId="327BE7B3" w14:textId="748609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0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Pr="00600896" w:rsidR="002B3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Year 1</w:t>
            </w:r>
          </w:p>
        </w:tc>
      </w:tr>
      <w:tr w:rsidRPr="00600896" w:rsidR="00E16EAF" w:rsidTr="799DBC6D" w14:paraId="7756CE6F" w14:textId="77777777">
        <w:trPr>
          <w:trHeight w:val="464"/>
        </w:trPr>
        <w:tc>
          <w:tcPr>
            <w:tcW w:w="1271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0642757D" w14:textId="5A92D1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1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:rsidR="614369A6" w:rsidP="614369A6" w:rsidRDefault="614369A6" w14:paraId="168F9D7F" w14:textId="4A9233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3B3F79" w:rsidP="72617E90" w:rsidRDefault="33E4AE28" w14:paraId="4F553C28" w14:textId="2E2F1C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536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7BA86A83" w14:textId="124242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:rsidRPr="00600896" w:rsidR="003B3F79" w:rsidP="72617E90" w:rsidRDefault="003B3F79" w14:paraId="13F1B4DC" w14:textId="682422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42980A97" w14:textId="4CBE51C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3B3F79" w:rsidP="72617E90" w:rsidRDefault="003B3F79" w14:paraId="3AB405BC" w14:textId="3A65C1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3D8CA66E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38421D59" w14:textId="3C553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3B3F79" w:rsidP="72617E90" w:rsidRDefault="003B3F79" w14:paraId="609EBC0F" w14:textId="2DB7A0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7E8BDF3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402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274CBE69" w14:textId="4929B8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904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46319610" w14:textId="2B9898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600896" w:rsidR="00E16EAF" w:rsidTr="799DBC6D" w14:paraId="27DE8396" w14:textId="77777777">
        <w:trPr>
          <w:trHeight w:val="231"/>
        </w:trPr>
        <w:tc>
          <w:tcPr>
            <w:tcW w:w="1271" w:type="dxa"/>
            <w:tcMar/>
          </w:tcPr>
          <w:p w:rsidRPr="00600896" w:rsidR="00F43C17" w:rsidP="799DBC6D" w:rsidRDefault="00F43C17" w14:paraId="56CE84C5" w14:textId="17FFEA7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0B3E6C0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</w:t>
            </w:r>
            <w:r w:rsidRPr="799DBC6D" w:rsidR="1D6DBA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minar</w:t>
            </w:r>
            <w:r w:rsidRPr="799DBC6D" w:rsidR="0B3E6C0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1</w:t>
            </w:r>
          </w:p>
          <w:p w:rsidRPr="00600896" w:rsidR="00F43C17" w:rsidP="799DBC6D" w:rsidRDefault="00F43C17" w14:paraId="46B7122D" w14:textId="061AD75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583A645F" w14:textId="6E6D695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032233" w:rsidP="799DBC6D" w:rsidRDefault="00A13389" w14:paraId="3D9C97A7" w14:textId="68BB585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B01CCC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that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earning outside the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lassroom 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152F3CE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) 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is the use of 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different places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settings to support children’s learning and that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earning in the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atural 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799DBC6D" w:rsidR="1425632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nvironment</w:t>
            </w:r>
            <w:r w:rsidRPr="799DBC6D" w:rsidR="000D52D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(LINE) is any environment where human and non-human life lives.</w:t>
            </w:r>
          </w:p>
          <w:p w:rsidR="00882900" w:rsidP="799DBC6D" w:rsidRDefault="00882900" w14:paraId="503FCCA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882900" w:rsidP="799DBC6D" w:rsidRDefault="00882900" w14:paraId="4A22A374" w14:textId="5080D90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the values and 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benefits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6FE9C56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LINE promote for children and young people’s learning.</w:t>
            </w:r>
          </w:p>
          <w:p w:rsidR="0061311A" w:rsidP="799DBC6D" w:rsidRDefault="0061311A" w14:paraId="553948F0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61311A" w:rsidP="799DBC6D" w:rsidRDefault="009B5DCB" w14:paraId="26F15337" w14:textId="207C49B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B0D7A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be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able to 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participate</w:t>
            </w:r>
            <w:r w:rsidRPr="799DBC6D" w:rsidR="09D39B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a range of </w:t>
            </w:r>
            <w:r w:rsidRPr="799DBC6D" w:rsidR="5B0D7A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nature pedagogies used in outdoor learning.</w:t>
            </w:r>
          </w:p>
          <w:p w:rsidR="000D52DF" w:rsidP="799DBC6D" w:rsidRDefault="000D52DF" w14:paraId="395435A3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600896" w:rsidR="000D52DF" w:rsidP="799DBC6D" w:rsidRDefault="000D52DF" w14:paraId="767A5505" w14:textId="6C6C4AC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="0262B012" w:rsidP="799DBC6D" w:rsidRDefault="00113D89" w14:paraId="0369605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BDC1A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1.1, 1.2, 1.3, 1.6</w:t>
            </w:r>
            <w:r w:rsidRPr="799DBC6D" w:rsidR="4E8A41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1.7</w:t>
            </w:r>
          </w:p>
          <w:p w:rsidR="000D64A0" w:rsidP="799DBC6D" w:rsidRDefault="000D64A0" w14:paraId="3D4CE256" w14:textId="3E92A7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9ACD7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2.1, 2.2., 2.3, 2.4, </w:t>
            </w:r>
            <w:r w:rsidRPr="799DBC6D" w:rsidR="5A81522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2.5, 2.6</w:t>
            </w:r>
          </w:p>
        </w:tc>
        <w:tc>
          <w:tcPr>
            <w:tcW w:w="1417" w:type="dxa"/>
            <w:tcMar/>
          </w:tcPr>
          <w:p w:rsidR="0262B012" w:rsidP="799DBC6D" w:rsidRDefault="005A3FDA" w14:paraId="751EC46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89622C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1b, 1c, 1h,</w:t>
            </w:r>
          </w:p>
          <w:p w:rsidR="008105FF" w:rsidP="799DBC6D" w:rsidRDefault="008105FF" w14:paraId="644C4DB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D89C4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799DBC6D" w:rsidR="048A92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f, 2g, </w:t>
            </w:r>
          </w:p>
          <w:p w:rsidR="00A5712B" w:rsidP="799DBC6D" w:rsidRDefault="00A5712B" w14:paraId="244FA7CC" w14:textId="76C038F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08D5B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3i, 3j</w:t>
            </w:r>
          </w:p>
        </w:tc>
        <w:tc>
          <w:tcPr>
            <w:tcW w:w="3402" w:type="dxa"/>
            <w:tcMar/>
          </w:tcPr>
          <w:p w:rsidRPr="00081693" w:rsidR="00081693" w:rsidP="799DBC6D" w:rsidRDefault="00081693" w14:paraId="09ECA8A6" w14:textId="5D18EDE4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2020 Chawla, L. (2020). Childhood nature connection and constructive hope: A review of research on connecting with nature and coping with environmental loss. </w:t>
            </w: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People and Nature</w:t>
            </w: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2</w:t>
            </w: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619-642. http//doi.org/10.1002/pan3.10128.</w:t>
            </w: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="00141216" w:rsidP="799DBC6D" w:rsidRDefault="00081693" w14:paraId="30B5640B" w14:textId="3BB74A91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DFES 2005 Learning Outside the Classroom Manifesto accessed at </w:t>
            </w:r>
            <w:hyperlink r:id="R14762c249c454752">
              <w:r w:rsidRPr="799DBC6D" w:rsidR="2BD4B2F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https://www.lotc.org.uk/wp-</w:t>
              </w:r>
            </w:hyperlink>
            <w:hyperlink r:id="R82b2319205ae4733">
              <w:r w:rsidRPr="799DBC6D" w:rsidR="2BD4B2F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content/uploads/2011/03/G1.-LOtC-Manifesto.pdf</w:t>
              </w:r>
            </w:hyperlink>
            <w:r w:rsidRPr="799DBC6D" w:rsidR="2BD4B2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BC7393" w:rsidP="799DBC6D" w:rsidRDefault="008C1B6D" w14:paraId="722C669E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805964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Rosenshine</w:t>
            </w:r>
            <w:r w:rsidRPr="799DBC6D" w:rsidR="6805964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B. (2012) Principles of Instruction: Research-based strategies that all teachers should know. American Educator, 12–20. Available at: Rosenshine_PrinciplesOfInstruction.pdf</w:t>
            </w:r>
          </w:p>
          <w:p w:rsidRPr="00A029D6" w:rsidR="00A029D6" w:rsidP="799DBC6D" w:rsidRDefault="00A029D6" w14:paraId="3A855822" w14:textId="763488D7">
            <w:pPr>
              <w:pStyle w:val="paragraph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vMerge w:val="restart"/>
            <w:tcMar/>
          </w:tcPr>
          <w:p w:rsidRPr="00241F70" w:rsidR="00241F70" w:rsidP="799DBC6D" w:rsidRDefault="00241F70" w14:paraId="2933D7ED" w14:textId="09FA314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Trainee reflection and analysis/</w:t>
            </w:r>
          </w:p>
          <w:p w:rsidRPr="00241F70" w:rsidR="00241F70" w:rsidP="799DBC6D" w:rsidRDefault="00241F70" w14:paraId="7F1C05FC" w14:textId="002135C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1A1A436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evaluation.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241F70" w:rsidR="00241F70" w:rsidP="799DBC6D" w:rsidRDefault="00241F70" w14:paraId="711E8E27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223CF56F" w14:textId="24D0D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Personal tutoring processes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3C4066E1" w14:textId="03A4C4A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0B6251F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(weekly development summaries)</w:t>
            </w:r>
            <w:r w:rsidRPr="799DBC6D" w:rsidR="13F8FE73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9633FF" w:rsidR="00241F70" w:rsidP="799DBC6D" w:rsidRDefault="00241F70" w14:paraId="0DB7913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9633FF" w:rsidR="00241F70" w:rsidP="799DBC6D" w:rsidRDefault="00241F70" w14:paraId="5649DB44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3844C0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Within taught university sessions through activities and interactions.</w:t>
            </w:r>
            <w:r w:rsidRPr="799DBC6D" w:rsidR="73844C0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 </w:t>
            </w:r>
          </w:p>
          <w:p w:rsidRPr="00600896" w:rsidR="00E16EAF" w:rsidP="799DBC6D" w:rsidRDefault="00C14969" w14:paraId="2892EEC3" w14:textId="17DA2CB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28F5CE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 xml:space="preserve">e.g. peer teaching, presentations, </w:t>
            </w:r>
            <w:r w:rsidRPr="799DBC6D" w:rsidR="0B6251F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debates,</w:t>
            </w:r>
            <w:r w:rsidRPr="799DBC6D" w:rsidR="5CC1479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799DBC6D" w:rsidR="628F5CE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feedback</w:t>
            </w:r>
            <w:r w:rsidRPr="799DBC6D" w:rsidR="5CC1479B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Pr="00600896" w:rsidR="00E16EAF" w:rsidTr="799DBC6D" w14:paraId="103526E9" w14:textId="77777777">
        <w:trPr>
          <w:trHeight w:val="411"/>
        </w:trPr>
        <w:tc>
          <w:tcPr>
            <w:tcW w:w="1271" w:type="dxa"/>
            <w:tcMar/>
          </w:tcPr>
          <w:p w:rsidRPr="00600896" w:rsidR="2C3B77DE" w:rsidP="799DBC6D" w:rsidRDefault="2C3B77DE" w14:paraId="706806E6" w14:textId="31DEDBB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75B98A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Seminar </w:t>
            </w:r>
            <w:r w:rsidRPr="799DBC6D" w:rsidR="450C6E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</w:t>
            </w:r>
          </w:p>
          <w:p w:rsidRPr="00600896" w:rsidR="72617E90" w:rsidP="799DBC6D" w:rsidRDefault="72617E90" w14:paraId="1BE66E23" w14:textId="622332A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039432EE" w14:textId="358CD11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Pr="00153802" w:rsidR="00153802" w:rsidP="799DBC6D" w:rsidRDefault="00153802" w14:paraId="469FEFD7" w14:textId="5F5B1CCF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that LINE supports children’s connection to nature,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wellbeing,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behaviour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regulation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799DBC6D" w:rsidP="799DBC6D" w:rsidRDefault="799DBC6D" w14:paraId="48E59342" w14:textId="7275A32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Pr="00153802" w:rsidR="00153802" w:rsidP="799DBC6D" w:rsidRDefault="00153802" w14:paraId="040D5EBA" w14:textId="02324AC5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that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frameworks that can be used to develop children’s connection to nature and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wellbeing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="799DBC6D" w:rsidP="799DBC6D" w:rsidRDefault="799DBC6D" w14:paraId="59958614" w14:textId="01AAF07C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  <w:p w:rsidRPr="00153802" w:rsidR="00153802" w:rsidP="799DBC6D" w:rsidRDefault="00153802" w14:paraId="2D4F20DB" w14:textId="6C5E3789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be able to contribute to the design of experiences that connect children to nature and support risky 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play</w:t>
            </w:r>
            <w:r w:rsidRPr="799DBC6D" w:rsidR="18D26B9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​.</w:t>
            </w:r>
          </w:p>
          <w:p w:rsidRPr="00600896" w:rsidR="00BC7393" w:rsidP="799DBC6D" w:rsidRDefault="00BC7393" w14:paraId="67728935" w14:textId="2937EA6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="00600896" w:rsidP="799DBC6D" w:rsidRDefault="00DE1172" w14:paraId="020C90C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5ABDF8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3.1, 3.2, 3.3, 3.4, 3.5</w:t>
            </w:r>
            <w:r w:rsidRPr="799DBC6D" w:rsidR="034B27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799DBC6D" w:rsidR="52FC3B0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3.7</w:t>
            </w:r>
            <w:r w:rsidRPr="799DBC6D" w:rsidR="25DF81E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4.5, 4.6, </w:t>
            </w:r>
          </w:p>
          <w:p w:rsidRPr="00600896" w:rsidR="00C74802" w:rsidP="799DBC6D" w:rsidRDefault="00C74802" w14:paraId="3006B1A9" w14:textId="234BF71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44F5F65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5.1, 5.2, 5.3, 5.5</w:t>
            </w:r>
            <w:r w:rsidRPr="799DBC6D" w:rsidR="55C0F5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7.3, 7.4</w:t>
            </w:r>
          </w:p>
        </w:tc>
        <w:tc>
          <w:tcPr>
            <w:tcW w:w="1417" w:type="dxa"/>
            <w:tcMar/>
          </w:tcPr>
          <w:p w:rsidRPr="00600896" w:rsidR="00600896" w:rsidP="799DBC6D" w:rsidRDefault="00421878" w14:paraId="27F67509" w14:textId="6D670B9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D1E8C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4a, 4b, 4c</w:t>
            </w:r>
          </w:p>
        </w:tc>
        <w:tc>
          <w:tcPr>
            <w:tcW w:w="3402" w:type="dxa"/>
            <w:tcMar/>
          </w:tcPr>
          <w:p w:rsidR="00141216" w:rsidP="799DBC6D" w:rsidRDefault="00141216" w14:paraId="7C1B3F7D" w14:textId="33E2D7D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2015 </w:t>
            </w: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Benefits of Nature Contact</w:t>
            </w: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Journal of Planning Literature 30:4 accessed at </w:t>
            </w:r>
            <w:hyperlink r:id="Rf8a93a7af03c46fd">
              <w:r w:rsidRPr="799DBC6D" w:rsidR="2A6FC50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https://journals.sagepub.com/doi/full/10.1177/0885412215595441 on October 2022</w:t>
              </w:r>
            </w:hyperlink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Pr="00081693" w:rsidR="00141216" w:rsidP="799DBC6D" w:rsidRDefault="00141216" w14:paraId="151D2DF1" w14:textId="17A1805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</w:t>
            </w:r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oE 2022 Strategy for Sustainability and Climate Change accessed at </w:t>
            </w:r>
            <w:hyperlink r:id="Ra71f62132ef94b93">
              <w:r w:rsidRPr="799DBC6D" w:rsidR="2A6FC50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https://www.gov.uk/government/publications/sustainability-and-climate-change-strategy/sustainability-and-climate-</w:t>
              </w:r>
            </w:hyperlink>
            <w:hyperlink r:id="R503dd20b79154a48">
              <w:r w:rsidRPr="799DBC6D" w:rsidR="2A6FC50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change-a-strategy-for-the-education-and-childrens-services-systems</w:t>
              </w:r>
            </w:hyperlink>
            <w:r w:rsidRPr="799DBC6D" w:rsidR="2A6FC5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600896" w:rsidR="00F43C17" w:rsidP="799DBC6D" w:rsidRDefault="00F43C17" w14:paraId="0BDA8075" w14:textId="3D2AA486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04" w:type="dxa"/>
            <w:vMerge/>
            <w:tcMar/>
          </w:tcPr>
          <w:p w:rsidRPr="00600896" w:rsidR="00F43C17" w:rsidP="00E43179" w:rsidRDefault="00F43C17" w14:paraId="587EB6BC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600896" w:rsidR="00E16EAF" w:rsidTr="799DBC6D" w14:paraId="1534715E" w14:textId="77777777">
        <w:trPr>
          <w:trHeight w:val="411"/>
        </w:trPr>
        <w:tc>
          <w:tcPr>
            <w:tcW w:w="1271" w:type="dxa"/>
            <w:tcMar/>
          </w:tcPr>
          <w:p w:rsidRPr="00600896" w:rsidR="72617E90" w:rsidP="799DBC6D" w:rsidRDefault="2C3B77DE" w14:paraId="4472D387" w14:textId="1AF4353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75B98A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99DBC6D" w:rsidR="726114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Seminar</w:t>
            </w:r>
            <w:r w:rsidRPr="799DBC6D" w:rsidR="02B3A9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99DBC6D" w:rsidR="7E26F1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</w:p>
          <w:p w:rsidR="5E4A9761" w:rsidP="799DBC6D" w:rsidRDefault="5E4A9761" w14:paraId="05A92316" w14:textId="4FF5E88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600896" w:rsidR="00F43C17" w:rsidP="799DBC6D" w:rsidRDefault="00F43C17" w14:paraId="4D3595BD" w14:textId="19FFAFE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231406" w:rsidP="799DBC6D" w:rsidRDefault="00191E4F" w14:paraId="66523616" w14:textId="08E036F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know how to plan an effective </w:t>
            </w: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55754FB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activity 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which enables</w:t>
            </w:r>
            <w:r w:rsidRPr="799DBC6D" w:rsidR="429ACE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children to connect to nature</w:t>
            </w:r>
            <w:r w:rsidRPr="799DBC6D" w:rsidR="14A710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supports </w:t>
            </w:r>
            <w:r w:rsidRPr="799DBC6D" w:rsidR="14A710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authentic learning</w:t>
            </w:r>
            <w:r w:rsidRPr="799DBC6D" w:rsidR="15D9A0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 context.</w:t>
            </w:r>
          </w:p>
          <w:p w:rsidR="002F05B3" w:rsidP="799DBC6D" w:rsidRDefault="002F05B3" w14:paraId="2900C7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F05B3" w:rsidP="799DBC6D" w:rsidRDefault="002F05B3" w14:paraId="43197D4A" w14:textId="17EC27E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understand that </w:t>
            </w: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3F43B06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activities can both support a child’s academic progress and their mental </w:t>
            </w:r>
            <w:r w:rsidRPr="799DBC6D" w:rsidR="1B5AB7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well-being</w:t>
            </w: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="00BE2E26" w:rsidP="799DBC6D" w:rsidRDefault="00BE2E26" w14:paraId="451450E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BE2E26" w:rsidP="799DBC6D" w:rsidRDefault="00BE2E26" w14:paraId="3A968B3A" w14:textId="1106C9A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AC1E25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be able to </w:t>
            </w:r>
            <w:r w:rsidRPr="799DBC6D" w:rsidR="246C884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complete a benefit, risk assessment which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supports their planned 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LOtC</w:t>
            </w:r>
            <w:r w:rsidRPr="799DBC6D" w:rsidR="12E138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activity.</w:t>
            </w:r>
            <w:r w:rsidRPr="799DBC6D" w:rsidR="5D2BB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43041E" w:rsidP="799DBC6D" w:rsidRDefault="0043041E" w14:paraId="6A01B5C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43041E" w:rsidP="799DBC6D" w:rsidRDefault="0043041E" w14:paraId="4917EF8B" w14:textId="080C7B2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D2BB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 be able to critically analyse how their planned activity</w:t>
            </w:r>
            <w:r w:rsidRPr="799DBC6D" w:rsidR="3ACAE5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had an impact on learning,</w:t>
            </w:r>
            <w:r w:rsidRPr="799DBC6D" w:rsidR="39AF02D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 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identify</w:t>
            </w:r>
            <w:r w:rsidRPr="799DBC6D" w:rsidR="3617A53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the opportunities and challenges for integrating outdoor learning into the curriculum across both core and foundation subjects.</w:t>
            </w:r>
          </w:p>
          <w:p w:rsidRPr="00191E4F" w:rsidR="002C4CD4" w:rsidP="799DBC6D" w:rsidRDefault="002C4CD4" w14:paraId="1BBE5405" w14:textId="01E46D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Pr="00600896" w:rsidR="0062430D" w:rsidP="799DBC6D" w:rsidRDefault="00CD707D" w14:paraId="6FAA0DEB" w14:textId="4651669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C38D19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4.1, 4.2, 4.3, 4.4,</w:t>
            </w:r>
            <w:r w:rsidRPr="799DBC6D" w:rsidR="2FF2199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4.9, 4.10</w:t>
            </w:r>
            <w:r w:rsidRPr="799DBC6D" w:rsidR="51D86F9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5.7, 5.8, </w:t>
            </w:r>
            <w:r w:rsidRPr="799DBC6D" w:rsidR="38EC77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5.9, </w:t>
            </w:r>
            <w:r w:rsidRPr="799DBC6D" w:rsidR="647E7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6.5, 6.6, </w:t>
            </w:r>
          </w:p>
        </w:tc>
        <w:tc>
          <w:tcPr>
            <w:tcW w:w="1417" w:type="dxa"/>
            <w:tcMar/>
          </w:tcPr>
          <w:p w:rsidR="0062430D" w:rsidP="799DBC6D" w:rsidRDefault="00033B51" w14:paraId="6AD9CCA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788047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5c, 5o</w:t>
            </w:r>
          </w:p>
          <w:p w:rsidR="00EB65A6" w:rsidP="799DBC6D" w:rsidRDefault="00EB65A6" w14:paraId="08B18BC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A0424C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6e, 6j, 6p</w:t>
            </w:r>
          </w:p>
          <w:p w:rsidRPr="00600896" w:rsidR="00274D97" w:rsidP="799DBC6D" w:rsidRDefault="00274D97" w14:paraId="69E4E2DC" w14:textId="0BDD467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65E384C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7a, 7b, 7j</w:t>
            </w:r>
          </w:p>
        </w:tc>
        <w:tc>
          <w:tcPr>
            <w:tcW w:w="3402" w:type="dxa"/>
            <w:tcMar/>
          </w:tcPr>
          <w:p w:rsidRPr="00081693" w:rsidR="00FE2B7E" w:rsidP="799DBC6D" w:rsidRDefault="00FE2B7E" w14:paraId="5A3A1028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King’s College London (2011) </w:t>
            </w: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Understanding the diverse benefits of learning in natural environments.</w:t>
            </w:r>
            <w:r w:rsidRPr="799DBC6D" w:rsidR="645603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Available online at: </w:t>
            </w:r>
            <w:hyperlink r:id="Rf5837baf402b4703">
              <w:r w:rsidRPr="799DBC6D" w:rsidR="645603D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http://www.lotc.org.uk/wp-content/uploads/2011/09/KCL-LINE-benefits-final-version.pdf</w:t>
              </w:r>
            </w:hyperlink>
          </w:p>
          <w:p w:rsidRPr="00600896" w:rsidR="00F43C17" w:rsidP="799DBC6D" w:rsidRDefault="00F43C17" w14:paraId="0CE000B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904" w:type="dxa"/>
            <w:vMerge/>
            <w:tcMar/>
          </w:tcPr>
          <w:p w:rsidRPr="00600896" w:rsidR="00F43C17" w:rsidP="00E43179" w:rsidRDefault="00F43C17" w14:paraId="0889454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9B6F70" w:rsidR="001E2E3B" w:rsidP="799DBC6D" w:rsidRDefault="001E2E3B" w14:paraId="23C15AA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Pr="009B6F70" w:rsidR="00A619D2" w:rsidTr="799DBC6D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Pr="009B6F70" w:rsidR="00A619D2" w:rsidP="799DBC6D" w:rsidRDefault="00A619D2" w14:paraId="32A256D1" w14:textId="7FD95DD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bookmarkStart w:name="_Hlk135137439" w:id="2"/>
            <w:r w:rsidRPr="799DBC6D" w:rsidR="00A619D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School Based Curriculum – Year 1</w:t>
            </w:r>
          </w:p>
        </w:tc>
      </w:tr>
      <w:tr w:rsidRPr="009B6F70" w:rsidR="00A619D2" w:rsidTr="799DBC6D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="00B249AC" w:rsidP="799DBC6D" w:rsidRDefault="16CF8B8A" w14:paraId="7659C8FB" w14:textId="7226F132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Observing: </w:t>
            </w:r>
            <w:r>
              <w:br/>
            </w:r>
            <w:r w:rsidRPr="799DBC6D" w:rsidR="5FDBF9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Observe pupils how pupils engage and respond to </w:t>
            </w:r>
            <w:r w:rsidRPr="799DBC6D" w:rsidR="5FDBF9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5FDBF9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activities, and how expert colleagues tailor their teaching to meet the needs of all pupils.</w:t>
            </w:r>
            <w:r w:rsidRPr="799DBC6D" w:rsidR="5FDBF98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00B249AC" w:rsidP="799DBC6D" w:rsidRDefault="16CF8B8A" w14:paraId="4B4E5DAB" w14:textId="7DE8EF31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B249AC" w:rsidP="799DBC6D" w:rsidRDefault="16CF8B8A" w14:paraId="2430CA66" w14:textId="5EDABFD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Observe how expert practitioners use motivation and build self-esteem of all learners.</w:t>
            </w:r>
          </w:p>
          <w:p w:rsidR="00B249AC" w:rsidP="799DBC6D" w:rsidRDefault="00B249AC" w14:paraId="007A865E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B249AC" w:rsidP="799DBC6D" w:rsidRDefault="16CF8B8A" w14:paraId="07057944" w14:textId="0A8C4E0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Planning: </w:t>
            </w:r>
          </w:p>
          <w:p w:rsidR="00B249AC" w:rsidP="799DBC6D" w:rsidRDefault="16CF8B8A" w14:paraId="370DD4A1" w14:textId="4413F37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6E3076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 a lesson or a </w:t>
            </w:r>
            <w:r w:rsidRPr="799DBC6D" w:rsidR="6E3076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6E3076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activity in selected core and foundation subjects and </w:t>
            </w:r>
            <w:r w:rsidRPr="799DBC6D" w:rsidR="6E3076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799DBC6D" w:rsidR="6E30763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impact it has on children’s learning.</w:t>
            </w:r>
          </w:p>
          <w:p w:rsidR="00B249AC" w:rsidP="799DBC6D" w:rsidRDefault="16CF8B8A" w14:paraId="08375E22" w14:textId="5BF3350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Teaching: </w:t>
            </w:r>
          </w:p>
          <w:p w:rsidR="00B249AC" w:rsidP="799DBC6D" w:rsidRDefault="16CF8B8A" w14:paraId="1D0E56FA" w14:textId="7087BBD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0525C9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Begin to appreciate </w:t>
            </w:r>
            <w:r w:rsidRPr="799DBC6D" w:rsidR="0525C9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0525C9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best practice principles, to deliver high-quality </w:t>
            </w:r>
            <w:r w:rsidRPr="799DBC6D" w:rsidR="0525C9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0525C9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teaching to all pupils.</w:t>
            </w:r>
          </w:p>
          <w:p w:rsidR="00B249AC" w:rsidP="799DBC6D" w:rsidRDefault="16CF8B8A" w14:paraId="181286EC" w14:textId="783C221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>
              <w:br/>
            </w: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Assessment: </w:t>
            </w:r>
            <w:r>
              <w:br/>
            </w: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Use peer and self-assessment to aid and support independent learning.</w:t>
            </w:r>
          </w:p>
          <w:p w:rsidR="00B249AC" w:rsidP="799DBC6D" w:rsidRDefault="00B249AC" w14:paraId="5C464AD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00B249AC" w:rsidP="799DBC6D" w:rsidRDefault="16CF8B8A" w14:paraId="3E9D1DE3" w14:textId="1C9BDCC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Subject Knowledge: </w:t>
            </w:r>
          </w:p>
          <w:p w:rsidR="00B249AC" w:rsidP="799DBC6D" w:rsidRDefault="16CF8B8A" w14:paraId="50A26C25" w14:textId="6EA1F0A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16CF8B8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 and analyse with expert practitioners how to implement and review flexible groupings and use groupings to support learning and promote inclusion</w:t>
            </w:r>
            <w:r w:rsidRPr="799DBC6D" w:rsidR="5D943A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9B6F70" w:rsidR="00B249AC" w:rsidP="799DBC6D" w:rsidRDefault="00B249AC" w14:paraId="50BE9C69" w14:textId="70FB74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9B6F70" w:rsidR="00D73F05" w:rsidTr="799DBC6D" w14:paraId="2799F10B" w14:textId="77777777">
        <w:trPr>
          <w:trHeight w:val="464"/>
        </w:trPr>
        <w:tc>
          <w:tcPr>
            <w:tcW w:w="5475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2C6B7ADD" w14:textId="3B01A53A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name="_Hlk135140715" w:id="3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A619D2" w:rsidP="614369A6" w:rsidRDefault="6B75BB66" w14:paraId="21456902" w14:textId="0A4D1A90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75A50D3B" w14:textId="0A3B1D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614369A6" w:rsidRDefault="2F2CF6A5" w14:paraId="4F6F2647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57F99834" w14:textId="376F5552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F4566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9B6F70" w:rsidR="00A619D2" w:rsidP="614369A6" w:rsidRDefault="2F2CF6A5" w14:paraId="4A4CA901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1D50E1D4" w14:textId="2A17F870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1FDD19F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42F43AD0" w14:textId="37BC600F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  <w:tcMar/>
          </w:tcPr>
          <w:p w:rsidRPr="009B6F70" w:rsidR="00A619D2" w:rsidP="614369A6" w:rsidRDefault="2F2CF6A5" w14:paraId="2E810B44" w14:textId="50BDFED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Pr="009B6F70" w:rsidR="00D73F05" w:rsidTr="799DBC6D" w14:paraId="18716B7C" w14:textId="77777777">
        <w:trPr>
          <w:trHeight w:val="231"/>
        </w:trPr>
        <w:tc>
          <w:tcPr>
            <w:tcW w:w="5475" w:type="dxa"/>
            <w:tcMar/>
          </w:tcPr>
          <w:p w:rsidRPr="00A84F74" w:rsidR="00B249AC" w:rsidP="799DBC6D" w:rsidRDefault="00B249AC" w14:paraId="6FD6F840" w14:textId="3BD245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accent6" w:themeTint="99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Introductory Professional Practice</w:t>
            </w:r>
          </w:p>
          <w:p w:rsidRPr="00A84F74" w:rsidR="00B249AC" w:rsidP="799DBC6D" w:rsidRDefault="00B249AC" w14:paraId="04048FEF" w14:textId="14D8C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6039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extent to which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school 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incorporates 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71C4D4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into their pedagogy and whether they have a LOtC policy.</w:t>
            </w:r>
          </w:p>
          <w:p w:rsidRPr="00A84F74" w:rsidR="00B249AC" w:rsidP="3D03C899" w:rsidRDefault="00B249AC" w14:paraId="1A6251B9" w14:textId="374B3C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51777B06" w14:textId="63D2C4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observe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53BD0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how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pupils 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respond to 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707D4E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 </w:t>
            </w: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and how teachers adapt their practice.</w:t>
            </w:r>
          </w:p>
          <w:p w:rsidRPr="00A84F74" w:rsidR="00B249AC" w:rsidP="3D03C899" w:rsidRDefault="00B249AC" w14:paraId="23766E94" w14:textId="5457B1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54882A03" w14:textId="12EA03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and begin to plan adaptive teaching strategies to meet the needs of pupils </w:t>
            </w:r>
            <w:r w:rsidRPr="799DBC6D" w:rsidR="320BF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when engaging in </w:t>
            </w:r>
            <w:r w:rsidRPr="799DBC6D" w:rsidR="320BF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320BF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4A75FA72" w14:textId="3337E2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3E1AF376" w14:textId="13B1C0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liaise with expert colleagues to address the needs of pupils 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when teaching 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2F95B0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482D4750" w14:textId="72CE7C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B249AC" w:rsidP="799DBC6D" w:rsidRDefault="00B249AC" w14:paraId="5152620C" w14:textId="1D8619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F566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understand the importance of assessment when 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planning for 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10EF2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B249AC" w:rsidP="3D03C899" w:rsidRDefault="00B249AC" w14:paraId="2ACE1DA1" w14:textId="3E806AA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="614369A6" w:rsidP="614369A6" w:rsidRDefault="614369A6" w14:paraId="5EF92A65" w14:textId="4E4879F9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7CEC5F7A" w14:textId="33A99D0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15C8BCA5" w14:textId="2DBC8E89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E08443F" w14:textId="0F04972A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53D70B7" w14:textId="2560879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55096D46" w14:textId="60F66BD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2A29251B" w14:textId="363BE1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77952B85" w14:textId="08A2925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2A64F26F" w14:textId="159496C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66EA64C3" w14:textId="2CDA16D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4CF6FB68" w14:textId="74C964A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32A628B4" w14:textId="26D482C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61496595" w14:textId="192EC4A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06D1A463" w14:textId="79FAE493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3E7A6037" w14:textId="0FD5254B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1D6340FB" w14:textId="45241A2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614369A6" w:rsidP="614369A6" w:rsidRDefault="614369A6" w14:paraId="4054E035" w14:textId="60BB6E3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A84F74" w:rsidR="00B249AC" w:rsidP="00B249AC" w:rsidRDefault="00B249AC" w14:paraId="65AE39A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A84F74" w:rsidR="000074DC" w:rsidP="006352ED" w:rsidRDefault="000074DC" w14:paraId="0D9B054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  <w:tcMar/>
          </w:tcPr>
          <w:p w:rsidRPr="00A84F74" w:rsidR="00A85691" w:rsidP="799DBC6D" w:rsidRDefault="00A85691" w14:paraId="128DAC6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1.1, 1.2, 1.3, 1.6, 1.7</w:t>
            </w:r>
          </w:p>
          <w:p w:rsidRPr="00A84F74" w:rsidR="00A85691" w:rsidP="799DBC6D" w:rsidRDefault="00A85691" w14:paraId="36E35B36" w14:textId="3E92A7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2.1, 2.2., 2.3, 2.4, 2.5, 2.6</w:t>
            </w:r>
          </w:p>
          <w:p w:rsidRPr="00A84F74" w:rsidR="00A85691" w:rsidP="799DBC6D" w:rsidRDefault="00A85691" w14:paraId="64F413B5" w14:textId="49D8B4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3.1, 3.2, 3.3, 3.4, 3.5, 3.7, </w:t>
            </w:r>
            <w:r w:rsidRPr="799DBC6D" w:rsidR="0FF7C8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4.1, 4.2, </w:t>
            </w:r>
            <w:r w:rsidRPr="799DBC6D" w:rsidR="3FB68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4.3, 4.4, 4.5,</w:t>
            </w:r>
            <w:r w:rsidRPr="799DBC6D" w:rsidR="6F281B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4.6,</w:t>
            </w:r>
            <w:r w:rsidRPr="799DBC6D" w:rsidR="3FB6850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4.9,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</w:t>
            </w:r>
            <w:r w:rsidRPr="799DBC6D" w:rsidR="71C5918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</w:p>
          <w:p w:rsidRPr="00A84F74" w:rsidR="00A85691" w:rsidP="799DBC6D" w:rsidRDefault="00A85691" w14:paraId="13E53A59" w14:textId="17F7549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5.1, 5.2, 5.3, 5.5,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5.7, 5.8, 5.9, </w:t>
            </w:r>
          </w:p>
          <w:p w:rsidRPr="00A84F74" w:rsidR="00A85691" w:rsidP="799DBC6D" w:rsidRDefault="00A85691" w14:paraId="516B0A48" w14:textId="4E4C752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6.5, 6.6,</w:t>
            </w:r>
          </w:p>
          <w:p w:rsidRPr="00A84F74" w:rsidR="00A85691" w:rsidP="799DBC6D" w:rsidRDefault="00A85691" w14:paraId="04E0BCF7" w14:textId="181AB11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59BC62C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7.3,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7.4</w:t>
            </w:r>
          </w:p>
          <w:p w:rsidRPr="00A84F74" w:rsidR="00A85691" w:rsidP="799DBC6D" w:rsidRDefault="00A85691" w14:paraId="50672F27" w14:textId="519B473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5691" w:rsidP="799DBC6D" w:rsidRDefault="00A85691" w14:paraId="0F267812" w14:textId="1D16A961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1686" w:type="dxa"/>
            <w:tcMar/>
          </w:tcPr>
          <w:p w:rsidRPr="00A84F74" w:rsidR="00A85691" w:rsidP="799DBC6D" w:rsidRDefault="00A85691" w14:paraId="5D8968F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1b, 1c, 1h,</w:t>
            </w:r>
          </w:p>
          <w:p w:rsidRPr="00A84F74" w:rsidR="00A85691" w:rsidP="799DBC6D" w:rsidRDefault="00A85691" w14:paraId="0C301B7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2f, 2g, </w:t>
            </w:r>
          </w:p>
          <w:p w:rsidRPr="00A84F74" w:rsidR="00A85691" w:rsidP="799DBC6D" w:rsidRDefault="00A85691" w14:paraId="79A1CE47" w14:textId="76C038F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3i, 3j</w:t>
            </w:r>
          </w:p>
          <w:p w:rsidRPr="00A84F74" w:rsidR="00A85691" w:rsidP="799DBC6D" w:rsidRDefault="00A85691" w14:paraId="3E77CD14" w14:textId="5B5414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4a, 4b, 4c</w:t>
            </w:r>
          </w:p>
          <w:p w:rsidRPr="00A84F74" w:rsidR="00A85691" w:rsidP="799DBC6D" w:rsidRDefault="00A85691" w14:paraId="0C0FE83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5c, 5o</w:t>
            </w:r>
          </w:p>
          <w:p w:rsidRPr="00A84F74" w:rsidR="00A85691" w:rsidP="799DBC6D" w:rsidRDefault="00A85691" w14:paraId="2DD976A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6e, 6j, 6p</w:t>
            </w:r>
          </w:p>
          <w:p w:rsidRPr="00A84F74" w:rsidR="00A85691" w:rsidP="799DBC6D" w:rsidRDefault="00A85691" w14:paraId="2ED53EAA" w14:textId="4C7FF5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7a, 7b, 7j</w:t>
            </w:r>
          </w:p>
          <w:p w:rsidRPr="00A84F74" w:rsidR="00A85691" w:rsidP="799DBC6D" w:rsidRDefault="00A85691" w14:paraId="3805DA35" w14:textId="20C0A8E7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3001" w:type="dxa"/>
            <w:tcMar/>
          </w:tcPr>
          <w:p w:rsidRPr="00A84F74" w:rsidR="00A84F74" w:rsidP="799DBC6D" w:rsidRDefault="00A84F74" w14:paraId="63ED8FDF" w14:textId="77777777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Rosenshine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B. (2012) Principles of Instruction: Research-based strategies that all teachers should know. American Educator, 12–20. Available at: Rosenshine_PrinciplesOfInstruction.pdf</w:t>
            </w:r>
          </w:p>
          <w:p w:rsidRPr="00A84F74" w:rsidR="00A84F74" w:rsidP="799DBC6D" w:rsidRDefault="00A84F74" w14:paraId="3D49B6FF" w14:textId="404642CA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4F74" w:rsidP="799DBC6D" w:rsidRDefault="00A84F74" w14:paraId="01A6EC29" w14:textId="33E2D7D0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Chawla L 2015 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Benefits of Nature Contact</w:t>
            </w:r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Journal of Planning Literature 30:4 accessed at </w:t>
            </w:r>
            <w:hyperlink r:id="R5cd4332f4c29470f">
              <w:r w:rsidRPr="799DBC6D" w:rsidR="2263AC9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https://journals.sagepub.com/doi/full/10.1177/0885412215595441 on October 2022</w:t>
              </w:r>
            </w:hyperlink>
            <w:r w:rsidRPr="799DBC6D" w:rsidR="2263AC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​</w:t>
            </w:r>
          </w:p>
          <w:p w:rsidRPr="00A84F74" w:rsidR="00A84F74" w:rsidP="799DBC6D" w:rsidRDefault="00A84F74" w14:paraId="0DE69B24" w14:textId="520B0112">
            <w:pPr>
              <w:pStyle w:val="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A84F74" w:rsidR="00A84F74" w:rsidP="799DBC6D" w:rsidRDefault="00A84F74" w14:paraId="51D90701" w14:textId="63845C6E">
            <w:pPr>
              <w:rPr>
                <w:rFonts w:ascii="Calibri Light" w:hAnsi="Calibri Light" w:cs="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2187" w:type="dxa"/>
            <w:tcMar/>
          </w:tcPr>
          <w:p w:rsidRPr="00A84F74" w:rsidR="006D1BC6" w:rsidP="799DBC6D" w:rsidRDefault="006D1BC6" w14:paraId="280E5DE9" w14:textId="22E853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WDS on Introductory Professional Practice.</w:t>
            </w:r>
          </w:p>
          <w:p w:rsidRPr="00A84F74" w:rsidR="006D1BC6" w:rsidP="799DBC6D" w:rsidRDefault="006D1BC6" w14:paraId="37DB48C0" w14:textId="741BAC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7321D306" w14:textId="11B05E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Mentor /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1BCE8C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expert colleague</w:t>
            </w: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A84F74" w:rsidR="006D1BC6" w:rsidP="799DBC6D" w:rsidRDefault="006D1BC6" w14:paraId="346E1E1F" w14:textId="360817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conversations.</w:t>
            </w:r>
          </w:p>
          <w:p w:rsidRPr="00A84F74" w:rsidR="006D1BC6" w:rsidP="799DBC6D" w:rsidRDefault="006D1BC6" w14:paraId="6403BEFF" w14:textId="2EC50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430D0F4C" w14:textId="03871E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Observation of pupils 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engaging in 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6A4AF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activities.</w:t>
            </w:r>
          </w:p>
          <w:p w:rsidRPr="00A84F74" w:rsidR="006D1BC6" w:rsidP="799DBC6D" w:rsidRDefault="006D1BC6" w14:paraId="5A87507C" w14:textId="3F712B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4B01DDB7" w14:textId="53BCFA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Observation of expert colleagues teaching </w:t>
            </w:r>
            <w:r w:rsidRPr="799DBC6D" w:rsidR="514FF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LOtC</w:t>
            </w:r>
            <w:r w:rsidRPr="799DBC6D" w:rsidR="514FFC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activities</w:t>
            </w:r>
          </w:p>
          <w:p w:rsidRPr="00A84F74" w:rsidR="006D1BC6" w:rsidP="799DBC6D" w:rsidRDefault="006D1BC6" w14:paraId="164F1501" w14:textId="795A2A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00000"/>
                <w:sz w:val="24"/>
                <w:szCs w:val="24"/>
                <w:lang w:val="en-GB"/>
              </w:rPr>
            </w:pPr>
          </w:p>
          <w:p w:rsidRPr="00A84F74" w:rsidR="006D1BC6" w:rsidP="799DBC6D" w:rsidRDefault="006D1BC6" w14:paraId="7E94403D" w14:textId="7A16E53E">
            <w:pPr>
              <w:pStyle w:val="Normal"/>
            </w:pPr>
            <w:r w:rsidRPr="799DBC6D" w:rsidR="4AFDA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Observation feedback from Mentor / Link Tutor.</w:t>
            </w: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614369A6" w:rsidRDefault="006D12F4" w14:paraId="469814C7" w14:textId="3A5CCF9A">
      <w:pPr>
        <w:jc w:val="center"/>
        <w:rPr>
          <w:b/>
          <w:bCs/>
          <w:i/>
          <w:iCs/>
          <w:u w:val="single"/>
        </w:rPr>
      </w:pPr>
      <w:bookmarkStart w:name="_Hlk135137737" w:id="4"/>
      <w:r w:rsidRPr="614369A6">
        <w:rPr>
          <w:b/>
          <w:bCs/>
          <w:i/>
          <w:iCs/>
          <w:u w:val="single"/>
        </w:rPr>
        <w:t xml:space="preserve">Year 2 Undergraduate </w:t>
      </w:r>
      <w:r w:rsidRPr="614369A6" w:rsidR="007E887F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Pr="009B6F70" w:rsidR="003B3F79" w:rsidTr="72617E90" w14:paraId="6A8B0E11" w14:textId="7777777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4"/>
          <w:p w:rsidRPr="009B6F70" w:rsidR="003B3F79" w:rsidP="006D12F4" w:rsidRDefault="003B3F79" w14:paraId="1583561B" w14:textId="1E5FACD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Pr="009B6F70" w:rsidR="002B344B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:rsidTr="72617E90" w14:paraId="3DCE5778" w14:textId="77777777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:rsidR="5DCF0113" w:rsidP="72617E90" w:rsidRDefault="5DCF0113" w14:paraId="125C2727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4E627E4" w14:textId="4076F98E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15A11AA" w14:textId="205A89A8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320C9460" w14:textId="147C3B36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E7C0032" w14:textId="081BEF34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1D0B0F6" w14:textId="6BE5332A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3DDA69AF" w14:textId="5F0F0673">
            <w:pPr>
              <w:jc w:val="center"/>
              <w:rPr>
                <w:b/>
                <w:bCs/>
              </w:rPr>
            </w:pPr>
          </w:p>
        </w:tc>
      </w:tr>
      <w:tr w:rsidRPr="009B6F70" w:rsidR="00C61BA0" w:rsidTr="72617E90" w14:paraId="781046DF" w14:textId="77777777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:rsidRPr="009B6F70" w:rsidR="003B3F79" w:rsidP="006D12F4" w:rsidRDefault="003B3F79" w14:paraId="73A78E38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:rsidRPr="009B6F70" w:rsidR="003B3F79" w:rsidP="72617E90" w:rsidRDefault="003B3F79" w14:paraId="41D70143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Pr="009B6F70" w:rsidR="003B3F79" w:rsidP="72617E90" w:rsidRDefault="003B3F79" w14:paraId="7E07F7B2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12B66386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:rsidRPr="009B6F70" w:rsidR="003B3F79" w:rsidP="72617E90" w:rsidRDefault="003B3F79" w14:paraId="7A14C8E5" w14:textId="74AB27C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4CC6310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9B6F70" w:rsidR="003B3F79" w:rsidP="006D12F4" w:rsidRDefault="003B3F79" w14:paraId="0A6BE265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:rsidRPr="009B6F70" w:rsidR="003B3F79" w:rsidP="72617E90" w:rsidRDefault="003B3F79" w14:paraId="67D8F110" w14:textId="316833B2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56628766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bullets </w:t>
            </w:r>
            <w:r w:rsidRPr="72617E90">
              <w:rPr>
                <w:b/>
                <w:bCs/>
              </w:rPr>
              <w:lastRenderedPageBreak/>
              <w:t>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:rsidRPr="009B6F70" w:rsidR="003B3F79" w:rsidP="006D12F4" w:rsidRDefault="003B3F79" w14:paraId="08A4F1BF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:rsidRPr="009B6F70" w:rsidR="003B3F79" w:rsidP="006D12F4" w:rsidRDefault="003B3F79" w14:paraId="3ADAD453" w14:textId="77777777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Pr="009B6F70" w:rsidR="0050097F" w:rsidTr="72617E90" w14:paraId="02039AAE" w14:textId="77777777">
        <w:trPr>
          <w:trHeight w:val="231"/>
        </w:trPr>
        <w:tc>
          <w:tcPr>
            <w:tcW w:w="1181" w:type="dxa"/>
          </w:tcPr>
          <w:p w:rsidRPr="009B6F70" w:rsidR="00F43C17" w:rsidP="72617E90" w:rsidRDefault="00F43C17" w14:paraId="74DEEA2C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</w:t>
            </w:r>
            <w:r w:rsidRPr="72617E90" w:rsidR="28E0A964">
              <w:rPr>
                <w:b/>
                <w:bCs/>
              </w:rPr>
              <w:t>minar 1</w:t>
            </w:r>
          </w:p>
          <w:p w:rsidRPr="009B6F70" w:rsidR="00F43C17" w:rsidP="00FE6E38" w:rsidRDefault="00F43C17" w14:paraId="525DCAFB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1DBADFD9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9B6F70" w:rsidR="00F43C17" w:rsidP="00FE6E38" w:rsidRDefault="00F43C17" w14:paraId="237BC73C" w14:textId="1CBC4D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="002415F5" w:rsidP="00032233" w:rsidRDefault="002415F5" w14:paraId="513547B4" w14:textId="77777777">
            <w:pPr>
              <w:rPr>
                <w:sz w:val="16"/>
                <w:szCs w:val="16"/>
              </w:rPr>
            </w:pPr>
          </w:p>
          <w:p w:rsidRPr="009B6F70" w:rsidR="00F43C17" w:rsidP="2CC1C8D2" w:rsidRDefault="00F43C17" w14:paraId="62784E2B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6B4CBA" w:rsidR="00F43C17" w:rsidP="2CC1C8D2" w:rsidRDefault="00F43C17" w14:paraId="3C5BAAE7" w14:textId="02620B1D"/>
        </w:tc>
        <w:tc>
          <w:tcPr>
            <w:tcW w:w="1782" w:type="dxa"/>
          </w:tcPr>
          <w:p w:rsidRPr="009B6F70" w:rsidR="00F43C17" w:rsidP="2CC1C8D2" w:rsidRDefault="00F43C17" w14:paraId="23B82D3F" w14:textId="2C4C7968"/>
        </w:tc>
        <w:tc>
          <w:tcPr>
            <w:tcW w:w="1831" w:type="dxa"/>
            <w:vMerge w:val="restart"/>
          </w:tcPr>
          <w:p w:rsidR="00F43C17" w:rsidP="00531976" w:rsidRDefault="00F43C17" w14:paraId="5692F065" w14:textId="77777777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:rsidRPr="002C0FB3" w:rsidR="0050097F" w:rsidP="00570238" w:rsidRDefault="0050097F" w14:paraId="6BAC8EBE" w14:textId="0EEFFE0B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vMerge w:val="restart"/>
          </w:tcPr>
          <w:p w:rsidRPr="00F43C17" w:rsidR="00F43C17" w:rsidP="00F43C17" w:rsidRDefault="00F43C17" w14:paraId="253D22A7" w14:textId="77777777"/>
          <w:p w:rsidRPr="009B6F70" w:rsidR="0050097F" w:rsidP="2CC1C8D2" w:rsidRDefault="0050097F" w14:paraId="55ED0C74" w14:textId="6114E70B">
            <w:pPr>
              <w:rPr>
                <w:sz w:val="16"/>
                <w:szCs w:val="16"/>
              </w:rPr>
            </w:pPr>
          </w:p>
        </w:tc>
      </w:tr>
      <w:tr w:rsidRPr="009B6F70" w:rsidR="0050097F" w:rsidTr="72617E90" w14:paraId="357EAE48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200E8E5B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34DD9E11" w14:textId="21E95072">
            <w:pPr>
              <w:jc w:val="center"/>
              <w:rPr>
                <w:b/>
                <w:bCs/>
              </w:rPr>
            </w:pPr>
          </w:p>
          <w:p w:rsidRPr="009B6F70" w:rsidR="00F43C17" w:rsidP="00FE6E38" w:rsidRDefault="00F43C17" w14:paraId="5F071403" w14:textId="7BD7B15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:rsidRPr="004D6F6C" w:rsidR="001225BB" w:rsidP="2CC1C8D2" w:rsidRDefault="001225BB" w14:paraId="2D97A9CE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Pr="001225BB" w:rsidR="00F43C17" w:rsidP="2CC1C8D2" w:rsidRDefault="00F43C17" w14:paraId="2E5A2133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Pr="001225BB" w:rsidR="00F43C17" w:rsidP="2CC1C8D2" w:rsidRDefault="00F43C17" w14:paraId="52B86171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Pr="009B6F70" w:rsidR="00F43C17" w:rsidP="00FE6E38" w:rsidRDefault="00F43C17" w14:paraId="067F0392" w14:textId="77777777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:rsidRPr="009B6F70" w:rsidR="00F43C17" w:rsidP="00FE6E38" w:rsidRDefault="00F43C17" w14:paraId="51B8B182" w14:textId="77777777">
            <w:pPr>
              <w:rPr>
                <w:rFonts w:cstheme="minorHAnsi"/>
              </w:rPr>
            </w:pPr>
          </w:p>
        </w:tc>
      </w:tr>
      <w:tr w:rsidR="72617E90" w:rsidTr="72617E90" w14:paraId="119CF689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533630FA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7A5634F8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534892AA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0E6E2D8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3C29B718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0F08CFEF" w14:textId="77777777"/>
        </w:tc>
        <w:tc>
          <w:tcPr>
            <w:tcW w:w="1827" w:type="dxa"/>
            <w:vMerge/>
          </w:tcPr>
          <w:p w:rsidR="00BE2D13" w:rsidRDefault="00BE2D13" w14:paraId="142F6FFC" w14:textId="77777777"/>
        </w:tc>
      </w:tr>
      <w:tr w:rsidR="72617E90" w:rsidTr="72617E90" w14:paraId="17C5E09B" w14:textId="77777777">
        <w:trPr>
          <w:trHeight w:val="411"/>
        </w:trPr>
        <w:tc>
          <w:tcPr>
            <w:tcW w:w="1181" w:type="dxa"/>
          </w:tcPr>
          <w:p w:rsidR="28E0A964" w:rsidP="72617E90" w:rsidRDefault="28E0A964" w14:paraId="7A193D2C" w14:textId="7BE940BC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4</w:t>
            </w:r>
          </w:p>
          <w:p w:rsidR="72617E90" w:rsidP="72617E90" w:rsidRDefault="72617E90" w14:paraId="1B8C5001" w14:textId="1D24905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67E50FD3" w14:textId="045FBA31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F71B72E" w14:textId="6B1565F3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883C15D" w14:textId="74B31262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42A776D8" w14:textId="77777777"/>
        </w:tc>
        <w:tc>
          <w:tcPr>
            <w:tcW w:w="1827" w:type="dxa"/>
            <w:vMerge/>
          </w:tcPr>
          <w:p w:rsidR="00BE2D13" w:rsidRDefault="00BE2D13" w14:paraId="5A624245" w14:textId="77777777"/>
        </w:tc>
      </w:tr>
    </w:tbl>
    <w:p w:rsidR="2CC1C8D2" w:rsidRDefault="2CC1C8D2" w14:paraId="631906DD" w14:textId="38C171F5"/>
    <w:p w:rsidR="000074DC" w:rsidRDefault="000074DC" w14:paraId="0BC1737F" w14:textId="77777777">
      <w:pPr>
        <w:rPr>
          <w:rFonts w:cstheme="minorHAnsi"/>
          <w:b/>
          <w:bCs/>
          <w:u w:val="single"/>
        </w:rPr>
      </w:pPr>
      <w:bookmarkStart w:name="_Hlk135137845" w:id="5"/>
    </w:p>
    <w:p w:rsidR="001E2E3B" w:rsidRDefault="001E2E3B" w14:paraId="5D237075" w14:textId="77777777">
      <w:pPr>
        <w:rPr>
          <w:rFonts w:cstheme="minorHAnsi"/>
          <w:b/>
          <w:bCs/>
          <w:u w:val="single"/>
        </w:rPr>
      </w:pPr>
    </w:p>
    <w:p w:rsidR="001E2E3B" w:rsidRDefault="001E2E3B" w14:paraId="53B0DA70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291C5308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Pr="009B6F70" w:rsidR="00A619D2" w:rsidTr="614369A6" w14:paraId="5220A0DB" w14:textId="7777777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42A41D5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2</w:t>
            </w:r>
          </w:p>
        </w:tc>
      </w:tr>
      <w:tr w:rsidRPr="009B6F70" w:rsidR="00A619D2" w:rsidTr="614369A6" w14:paraId="7C6FC821" w14:textId="77777777">
        <w:trPr>
          <w:trHeight w:val="464"/>
        </w:trPr>
        <w:tc>
          <w:tcPr>
            <w:tcW w:w="13953" w:type="dxa"/>
            <w:gridSpan w:val="5"/>
          </w:tcPr>
          <w:p w:rsidRPr="009B6F70" w:rsidR="00A619D2" w:rsidP="00A619D2" w:rsidRDefault="00445432" w14:paraId="5F75EF19" w14:textId="260C3DA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Pr="009B6F70" w:rsidR="00F253AC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Pr="009B6F70" w:rsidR="00F253AC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Pr="009B6F70" w:rsidR="00F253AC">
              <w:rPr>
                <w:rFonts w:cstheme="minorHAnsi"/>
              </w:rPr>
              <w:t xml:space="preserve"> throughout school.</w:t>
            </w:r>
          </w:p>
          <w:p w:rsidR="00A619D2" w:rsidP="00A619D2" w:rsidRDefault="00C61BA0" w14:paraId="4A626B06" w14:textId="4CC7BA9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:rsidRPr="009B6F70" w:rsidR="00DC0BE1" w:rsidP="00A619D2" w:rsidRDefault="00DC0BE1" w14:paraId="524130E7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C0BE1" w:rsidP="00DC0BE1" w:rsidRDefault="00445432" w14:paraId="46B82FA4" w14:textId="51B78A5A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Pr="00C61BA0" w:rsidR="00DC0BE1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:rsidRPr="00C61BA0" w:rsidR="00DC0BE1" w:rsidP="00DC0BE1" w:rsidRDefault="00DC0BE1" w14:paraId="7F764EC7" w14:textId="66705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:rsidR="00DC0BE1" w:rsidP="00DC0BE1" w:rsidRDefault="00DC0BE1" w14:paraId="373FDC0E" w14:textId="510254AC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lastRenderedPageBreak/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:rsidR="00DC0BE1" w:rsidP="00DC0BE1" w:rsidRDefault="00DC0BE1" w14:paraId="2A21158E" w14:textId="617721ED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:rsidRPr="00C61BA0" w:rsidR="00DC0BE1" w:rsidP="00DC0BE1" w:rsidRDefault="00DC0BE1" w14:paraId="23D2DDBA" w14:textId="77777777">
            <w:pPr>
              <w:rPr>
                <w:rFonts w:cstheme="minorHAnsi"/>
              </w:rPr>
            </w:pPr>
          </w:p>
          <w:p w:rsidR="00C61BA0" w:rsidP="00C61BA0" w:rsidRDefault="00445432" w14:paraId="15E8B698" w14:textId="7CE594B6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Pr="009B6F70" w:rsidR="00A619D2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Pr="00C61BA0" w:rsid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Pr="00C61BA0" w:rsid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:rsidRPr="009B6F70"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="00A619D2" w:rsidP="00C61BA0" w:rsidRDefault="00445432" w14:paraId="1094C0B1" w14:textId="17B516B4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  <w:r w:rsidRPr="009B6F70" w:rsidR="00A619D2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:rsidRPr="009B6F70" w:rsidR="00DC0BE1" w:rsidP="00C61BA0" w:rsidRDefault="00DC0BE1" w14:paraId="43E19C88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A619D2" w:rsidRDefault="00445432" w14:paraId="04E4452B" w14:textId="1C9BDCCA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A619D2">
              <w:rPr>
                <w:rFonts w:cstheme="minorHAnsi"/>
                <w:b/>
                <w:bCs/>
              </w:rPr>
              <w:t xml:space="preserve">: </w:t>
            </w:r>
          </w:p>
          <w:p w:rsidR="00A619D2" w:rsidP="00DC0BE1" w:rsidRDefault="00A619D2" w14:paraId="35B0FE46" w14:textId="42511C8A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Pr="00C61BA0" w:rsidR="00DC0BE1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Pr="00C61BA0" w:rsidR="00DC0BE1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Pr="00C61BA0" w:rsidR="00DC0BE1">
              <w:rPr>
                <w:rFonts w:cstheme="minorHAnsi"/>
              </w:rPr>
              <w:t>and promote inclusion.</w:t>
            </w:r>
          </w:p>
          <w:p w:rsidRPr="009B6F70" w:rsidR="00A619D2" w:rsidP="614369A6" w:rsidRDefault="00A619D2" w14:paraId="1756EA86" w14:textId="2730F58C"/>
        </w:tc>
      </w:tr>
      <w:tr w:rsidRPr="009B6F70" w:rsidR="006F3C6A" w:rsidTr="614369A6" w14:paraId="0B38BB33" w14:textId="77777777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:rsidRPr="009B6F70" w:rsidR="00A619D2" w:rsidP="614369A6" w:rsidRDefault="2F2CF6A5" w14:paraId="5BCC649D" w14:textId="164E9039">
            <w:pPr>
              <w:rPr>
                <w:b/>
                <w:bCs/>
                <w:sz w:val="18"/>
                <w:szCs w:val="18"/>
              </w:rPr>
            </w:pPr>
            <w:bookmarkStart w:name="_Hlk135140967" w:id="6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A619D2" w:rsidP="614369A6" w:rsidRDefault="00A619D2" w14:paraId="33515F01" w14:textId="32CAAEC8">
            <w:pPr>
              <w:rPr>
                <w:b/>
                <w:bCs/>
                <w:sz w:val="18"/>
                <w:szCs w:val="18"/>
              </w:rPr>
            </w:pPr>
          </w:p>
          <w:p w:rsidRPr="009B6F70" w:rsidR="00A619D2" w:rsidP="614369A6" w:rsidRDefault="47FB2978" w14:paraId="4C2BFD50" w14:textId="6BC0D47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27B52421" w14:textId="0EB93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:rsidRPr="009B6F70" w:rsidR="00A619D2" w:rsidP="614369A6" w:rsidRDefault="2F2CF6A5" w14:paraId="1533E66C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6B37C4ED" w14:textId="0AF075D9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7CE08C5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:rsidRPr="009B6F70" w:rsidR="00A619D2" w:rsidP="614369A6" w:rsidRDefault="2F2CF6A5" w14:paraId="5223E0B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558AA81D" w14:textId="1592D398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5AFFFF37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:rsidRPr="009B6F70" w:rsidR="00A619D2" w:rsidP="614369A6" w:rsidRDefault="2F2CF6A5" w14:paraId="43604FA7" w14:textId="27CD536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:rsidRPr="009B6F70" w:rsidR="00A619D2" w:rsidP="614369A6" w:rsidRDefault="2F2CF6A5" w14:paraId="60DCA1D1" w14:textId="0B05170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Pr="009B6F70" w:rsidR="006F3C6A" w:rsidTr="614369A6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:rsidRPr="009B6F70" w:rsidR="00515568" w:rsidP="2CC1C8D2" w:rsidRDefault="00515568" w14:paraId="68488F50" w14:textId="147FCF7F"/>
          <w:p w:rsidRPr="009B6F70" w:rsidR="00515568" w:rsidP="2CC1C8D2" w:rsidRDefault="00515568" w14:paraId="52A12905" w14:textId="0FE98DFC"/>
          <w:p w:rsidRPr="009B6F70" w:rsidR="00515568" w:rsidP="2CC1C8D2" w:rsidRDefault="00515568" w14:paraId="78017BA8" w14:textId="2D327B37"/>
          <w:p w:rsidRPr="009B6F70" w:rsidR="00515568" w:rsidP="2CC1C8D2" w:rsidRDefault="00515568" w14:paraId="7E1A917E" w14:textId="26331054"/>
          <w:p w:rsidRPr="009B6F70" w:rsidR="00515568" w:rsidP="2CC1C8D2" w:rsidRDefault="00515568" w14:paraId="11CB452D" w14:textId="71673EF7"/>
          <w:p w:rsidRPr="009B6F70" w:rsidR="00515568" w:rsidP="2CC1C8D2" w:rsidRDefault="00515568" w14:paraId="6B092B09" w14:textId="1256A1F1"/>
          <w:p w:rsidRPr="009B6F70" w:rsidR="00515568" w:rsidP="2CC1C8D2" w:rsidRDefault="00515568" w14:paraId="4F3AD1AE" w14:textId="52ED6CC9"/>
          <w:p w:rsidRPr="009B6F70" w:rsidR="00515568" w:rsidP="2CC1C8D2" w:rsidRDefault="00515568" w14:paraId="5D5B0070" w14:textId="07C5BBC2"/>
          <w:p w:rsidRPr="009B6F70" w:rsidR="00515568" w:rsidP="2CC1C8D2" w:rsidRDefault="00515568" w14:paraId="35C498A6" w14:textId="6DBC25EE"/>
          <w:p w:rsidRPr="009B6F70" w:rsidR="00515568" w:rsidP="2CC1C8D2" w:rsidRDefault="00515568" w14:paraId="00F48717" w14:textId="2F6EF4D7"/>
        </w:tc>
        <w:tc>
          <w:tcPr>
            <w:tcW w:w="1605" w:type="dxa"/>
          </w:tcPr>
          <w:p w:rsidRPr="001E5100" w:rsidR="004371C1" w:rsidP="2CC1C8D2" w:rsidRDefault="004371C1" w14:paraId="3FEF25F8" w14:textId="487A5FD7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Pr="001E5100" w:rsidR="001D4A83" w:rsidP="2CC1C8D2" w:rsidRDefault="001D4A83" w14:paraId="5599F53D" w14:textId="294289B8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:rsidRPr="006F3C6A" w:rsidR="006F3C6A" w:rsidP="006F3C6A" w:rsidRDefault="006F3C6A" w14:paraId="5D85D06C" w14:textId="77777777">
            <w:pPr>
              <w:rPr>
                <w:sz w:val="16"/>
                <w:szCs w:val="16"/>
              </w:rPr>
            </w:pP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2199" w:type="dxa"/>
          </w:tcPr>
          <w:p w:rsidRPr="009B6F70" w:rsidR="00353F20" w:rsidP="2CC1C8D2" w:rsidRDefault="00353F20" w14:paraId="721E9FC8" w14:textId="581B53DD">
            <w:pPr>
              <w:rPr>
                <w:sz w:val="16"/>
                <w:szCs w:val="16"/>
              </w:rPr>
            </w:pPr>
          </w:p>
        </w:tc>
      </w:tr>
      <w:bookmarkEnd w:id="5"/>
    </w:tbl>
    <w:p w:rsidR="00757F1D" w:rsidP="0081084C" w:rsidRDefault="00757F1D" w14:paraId="0B2105EA" w14:textId="2F6C28CA">
      <w:pPr>
        <w:rPr>
          <w:rFonts w:cstheme="minorHAnsi"/>
          <w:b/>
          <w:bCs/>
          <w:u w:val="single"/>
        </w:rPr>
      </w:pPr>
    </w:p>
    <w:p w:rsidR="00AD349A" w:rsidP="0081084C" w:rsidRDefault="00AD349A" w14:paraId="636590BE" w14:textId="545B0AE2">
      <w:pPr>
        <w:rPr>
          <w:rFonts w:cstheme="minorHAnsi"/>
          <w:b/>
          <w:bCs/>
          <w:u w:val="single"/>
        </w:rPr>
      </w:pPr>
    </w:p>
    <w:p w:rsidR="00AD349A" w:rsidP="0081084C" w:rsidRDefault="00AD349A" w14:paraId="43BD6089" w14:textId="2702D727">
      <w:pPr>
        <w:rPr>
          <w:rFonts w:cstheme="minorHAnsi"/>
          <w:b/>
          <w:bCs/>
          <w:u w:val="single"/>
        </w:rPr>
      </w:pPr>
    </w:p>
    <w:p w:rsidR="00AD349A" w:rsidP="0081084C" w:rsidRDefault="00AD349A" w14:paraId="3304BBED" w14:textId="361D5E69">
      <w:pPr>
        <w:rPr>
          <w:rFonts w:cstheme="minorHAnsi"/>
          <w:b/>
          <w:bCs/>
          <w:u w:val="single"/>
        </w:rPr>
      </w:pPr>
    </w:p>
    <w:p w:rsidRPr="009B6F70" w:rsidR="00AD349A" w:rsidP="0081084C" w:rsidRDefault="00AD349A" w14:paraId="2411620C" w14:textId="77777777">
      <w:pPr>
        <w:rPr>
          <w:rFonts w:cstheme="minorHAnsi"/>
          <w:b/>
          <w:bCs/>
          <w:u w:val="single"/>
        </w:rPr>
      </w:pPr>
    </w:p>
    <w:p w:rsidRPr="00353F20" w:rsidR="006D12F4" w:rsidP="614369A6" w:rsidRDefault="006D12F4" w14:paraId="057B5569" w14:textId="6C1E8A47">
      <w:pPr>
        <w:jc w:val="center"/>
        <w:rPr>
          <w:b/>
          <w:bCs/>
          <w:i/>
          <w:iCs/>
          <w:u w:val="single"/>
        </w:rPr>
      </w:pPr>
      <w:bookmarkStart w:name="_Hlk135137896" w:id="7"/>
      <w:r w:rsidRPr="614369A6">
        <w:rPr>
          <w:b/>
          <w:bCs/>
          <w:i/>
          <w:iCs/>
          <w:u w:val="single"/>
        </w:rPr>
        <w:t xml:space="preserve">Year 3 Undergraduate </w:t>
      </w:r>
      <w:r w:rsidRPr="614369A6" w:rsidR="3BF5672B">
        <w:rPr>
          <w:b/>
          <w:bCs/>
          <w:i/>
          <w:iCs/>
          <w:u w:val="single"/>
        </w:rPr>
        <w:t>Full Time</w:t>
      </w:r>
      <w:bookmarkEnd w:id="7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72617E90" w:rsidTr="72617E90" w14:paraId="571BC876" w14:textId="77777777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:rsidR="72617E90" w:rsidP="72617E90" w:rsidRDefault="72617E90" w14:paraId="5AE702B7" w14:textId="1AFB3F69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Pr="72617E90" w:rsidR="3265220F">
              <w:rPr>
                <w:b/>
                <w:bCs/>
              </w:rPr>
              <w:t>3</w:t>
            </w:r>
          </w:p>
        </w:tc>
      </w:tr>
      <w:tr w:rsidR="72617E90" w:rsidTr="72617E90" w14:paraId="704F50C5" w14:textId="77777777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:rsidR="72617E90" w:rsidP="72617E90" w:rsidRDefault="72617E90" w14:paraId="26B2BD93" w14:textId="2B7A355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:rsidR="72617E90" w:rsidP="72617E90" w:rsidRDefault="72617E90" w14:paraId="617022CD" w14:textId="4076F98E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0C2E5EAE" w14:textId="205A89A8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7E3E85EC" w14:textId="147C3B36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0F998BF" w14:textId="081BEF34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6A27B600" w14:textId="6BE5332A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5FBF54FE" w14:textId="5F0F0673">
            <w:pPr>
              <w:jc w:val="center"/>
              <w:rPr>
                <w:b/>
                <w:bCs/>
              </w:rPr>
            </w:pPr>
          </w:p>
        </w:tc>
      </w:tr>
      <w:tr w:rsidR="72617E90" w:rsidTr="72617E90" w14:paraId="00A25230" w14:textId="77777777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:rsidR="72617E90" w:rsidP="72617E90" w:rsidRDefault="72617E90" w14:paraId="70B51BBB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:rsidR="72617E90" w:rsidP="72617E90" w:rsidRDefault="72617E90" w14:paraId="673625E0" w14:textId="226744E3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:rsidR="72617E90" w:rsidP="72617E90" w:rsidRDefault="72617E90" w14:paraId="769FD043" w14:textId="129DB24D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7562B9E9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:rsidR="72617E90" w:rsidP="72617E90" w:rsidRDefault="72617E90" w14:paraId="08890BC9" w14:textId="79D961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249A6EF1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="72617E90" w:rsidP="72617E90" w:rsidRDefault="72617E90" w14:paraId="1C4ADD26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:rsidR="72617E90" w:rsidP="72617E90" w:rsidRDefault="72617E90" w14:paraId="104F2F82" w14:textId="52917BEB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Pr="72617E90" w:rsidR="1955AEE2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:rsidR="72617E90" w:rsidP="72617E90" w:rsidRDefault="72617E90" w14:paraId="44C2BF93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:rsidR="72617E90" w:rsidP="72617E90" w:rsidRDefault="72617E90" w14:paraId="40E69B68" w14:textId="77777777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:rsidTr="72617E90" w14:paraId="4090E0E8" w14:textId="77777777">
        <w:trPr>
          <w:trHeight w:val="231"/>
        </w:trPr>
        <w:tc>
          <w:tcPr>
            <w:tcW w:w="1181" w:type="dxa"/>
          </w:tcPr>
          <w:p w:rsidR="72617E90" w:rsidP="72617E90" w:rsidRDefault="72617E90" w14:paraId="31CF9613" w14:textId="6468E1E6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:rsidR="72617E90" w:rsidP="72617E90" w:rsidRDefault="72617E90" w14:paraId="7E1437B2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2A713F3D" w14:textId="77777777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47DA807F" w14:textId="1CBC4D2D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08C9A4A" w14:textId="77777777">
            <w:pPr>
              <w:rPr>
                <w:sz w:val="16"/>
                <w:szCs w:val="16"/>
              </w:rPr>
            </w:pPr>
          </w:p>
          <w:p w:rsidR="72617E90" w:rsidP="72617E90" w:rsidRDefault="72617E90" w14:paraId="7B95E7D5" w14:textId="2CE0B09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7C9FFC8C" w14:textId="02620B1D"/>
        </w:tc>
        <w:tc>
          <w:tcPr>
            <w:tcW w:w="1782" w:type="dxa"/>
          </w:tcPr>
          <w:p w:rsidR="72617E90" w:rsidP="72617E90" w:rsidRDefault="72617E90" w14:paraId="7D806AC6" w14:textId="2C4C7968"/>
        </w:tc>
        <w:tc>
          <w:tcPr>
            <w:tcW w:w="1831" w:type="dxa"/>
            <w:vMerge w:val="restart"/>
          </w:tcPr>
          <w:p w:rsidR="72617E90" w:rsidP="72617E90" w:rsidRDefault="72617E90" w14:paraId="0DE3899D" w14:textId="77777777">
            <w:pPr>
              <w:rPr>
                <w:rStyle w:val="markedcontent"/>
              </w:rPr>
            </w:pPr>
          </w:p>
          <w:p w:rsidR="72617E90" w:rsidP="72617E90" w:rsidRDefault="72617E90" w14:paraId="6DC513EA" w14:textId="0EEFFE0B">
            <w:pPr>
              <w:pStyle w:val="CommentText"/>
            </w:pPr>
          </w:p>
        </w:tc>
        <w:tc>
          <w:tcPr>
            <w:tcW w:w="1827" w:type="dxa"/>
            <w:vMerge w:val="restart"/>
          </w:tcPr>
          <w:p w:rsidR="72617E90" w:rsidRDefault="72617E90" w14:paraId="618CBE0F" w14:textId="77777777"/>
          <w:p w:rsidR="72617E90" w:rsidP="72617E90" w:rsidRDefault="72617E90" w14:paraId="0AB171C2" w14:textId="6114E70B">
            <w:pPr>
              <w:rPr>
                <w:sz w:val="16"/>
                <w:szCs w:val="16"/>
              </w:rPr>
            </w:pPr>
          </w:p>
        </w:tc>
      </w:tr>
      <w:tr w:rsidR="72617E90" w:rsidTr="72617E90" w14:paraId="1EC598D3" w14:textId="77777777">
        <w:trPr>
          <w:trHeight w:val="411"/>
        </w:trPr>
        <w:tc>
          <w:tcPr>
            <w:tcW w:w="1181" w:type="dxa"/>
          </w:tcPr>
          <w:p w:rsidR="72617E90" w:rsidP="72617E90" w:rsidRDefault="72617E90" w14:paraId="7E2845BF" w14:textId="003AA5AA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:rsidR="72617E90" w:rsidP="72617E90" w:rsidRDefault="72617E90" w14:paraId="5EB2DB88" w14:textId="21E95072">
            <w:pPr>
              <w:jc w:val="center"/>
              <w:rPr>
                <w:b/>
                <w:bCs/>
              </w:rPr>
            </w:pPr>
          </w:p>
          <w:p w:rsidR="72617E90" w:rsidP="72617E90" w:rsidRDefault="72617E90" w14:paraId="05CA8422" w14:textId="7BD7B15E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0954E935" w14:textId="65FBA77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4B12FC8C" w14:textId="701B92C5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04505C4D" w14:textId="2DF222F3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2C013165" w14:textId="77777777"/>
        </w:tc>
        <w:tc>
          <w:tcPr>
            <w:tcW w:w="1827" w:type="dxa"/>
            <w:vMerge/>
          </w:tcPr>
          <w:p w:rsidR="00BE2D13" w:rsidRDefault="00BE2D13" w14:paraId="5CB9F405" w14:textId="77777777"/>
        </w:tc>
      </w:tr>
      <w:tr w:rsidR="72617E90" w:rsidTr="72617E90" w14:paraId="409BD983" w14:textId="77777777">
        <w:trPr>
          <w:trHeight w:val="411"/>
        </w:trPr>
        <w:tc>
          <w:tcPr>
            <w:tcW w:w="1181" w:type="dxa"/>
          </w:tcPr>
          <w:p w:rsidR="72617E90" w:rsidP="72617E90" w:rsidRDefault="72617E90" w14:paraId="51B33E89" w14:textId="5D75D2D5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:rsidR="72617E90" w:rsidP="72617E90" w:rsidRDefault="72617E90" w14:paraId="35C839FB" w14:textId="16EA4FAF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:rsidR="72617E90" w:rsidP="72617E90" w:rsidRDefault="72617E90" w14:paraId="31B6BA58" w14:textId="2E874F4E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:rsidR="72617E90" w:rsidP="72617E90" w:rsidRDefault="72617E90" w14:paraId="2D45FEB5" w14:textId="59019E39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72617E90" w:rsidP="72617E90" w:rsidRDefault="72617E90" w14:paraId="46D973DC" w14:textId="4D98669A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:rsidR="00BE2D13" w:rsidRDefault="00BE2D13" w14:paraId="5862FEA3" w14:textId="77777777"/>
        </w:tc>
        <w:tc>
          <w:tcPr>
            <w:tcW w:w="1827" w:type="dxa"/>
            <w:vMerge/>
          </w:tcPr>
          <w:p w:rsidR="00BE2D13" w:rsidRDefault="00BE2D13" w14:paraId="7FBB51FE" w14:textId="77777777"/>
        </w:tc>
      </w:tr>
    </w:tbl>
    <w:p w:rsidRPr="009B6F70" w:rsidR="00A619D2" w:rsidP="00757F1D" w:rsidRDefault="00A619D2" w14:paraId="04F1E883" w14:textId="6F31B5BB"/>
    <w:p w:rsidRPr="009B6F70" w:rsidR="00A619D2" w:rsidP="72617E90" w:rsidRDefault="00A619D2" w14:paraId="1717E0E4" w14:textId="5FB9AF05">
      <w:pPr>
        <w:rPr>
          <w:b/>
          <w:bCs/>
          <w:u w:val="single"/>
        </w:rPr>
      </w:pPr>
    </w:p>
    <w:p w:rsidR="008B6642" w:rsidRDefault="008B6642" w14:paraId="5B64407E" w14:textId="4DE33979">
      <w:pPr>
        <w:rPr>
          <w:rFonts w:cstheme="minorHAnsi"/>
          <w:b/>
          <w:bCs/>
          <w:u w:val="single"/>
        </w:rPr>
      </w:pPr>
      <w:bookmarkStart w:name="_Hlk135137995" w:id="8"/>
    </w:p>
    <w:p w:rsidR="001E2E3B" w:rsidRDefault="001E2E3B" w14:paraId="20B5AD66" w14:textId="77777777">
      <w:pPr>
        <w:rPr>
          <w:rFonts w:cstheme="minorHAnsi"/>
          <w:b/>
          <w:bCs/>
          <w:u w:val="single"/>
        </w:rPr>
      </w:pPr>
    </w:p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Pr="009B6F70" w:rsidR="008B6642" w:rsidTr="614369A6" w14:paraId="3BBD1257" w14:textId="77777777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701DBDEE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 – Year 3</w:t>
            </w:r>
          </w:p>
        </w:tc>
      </w:tr>
      <w:tr w:rsidRPr="009B6F70" w:rsidR="008B6642" w:rsidTr="614369A6" w14:paraId="1C0F7D76" w14:textId="77777777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:rsidR="00DA7359" w:rsidP="008B6642" w:rsidRDefault="00445432" w14:paraId="45B21657" w14:textId="5C0AEA37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F253AC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Pr="00DA7359" w:rsid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Pr="00DA7359" w:rsidR="00DA7359">
              <w:rPr>
                <w:rFonts w:cstheme="minorHAnsi"/>
              </w:rPr>
              <w:t xml:space="preserve">Needs </w:t>
            </w:r>
          </w:p>
          <w:p w:rsidRPr="009B6F70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4D85F14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027DFB83" w14:textId="53F8CE5F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:rsidR="00DA7359" w:rsidP="00DA7359" w:rsidRDefault="00DA7359" w14:paraId="7CA2C8FF" w14:textId="6E907A2D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:rsidRPr="009B6F70" w:rsidR="008B6642" w:rsidP="008B6642" w:rsidRDefault="008B6642" w14:paraId="539E88E6" w14:textId="29C820F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DA7359" w:rsidP="008B6642" w:rsidRDefault="00445432" w14:paraId="6F63831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Pr="009B6F70" w:rsidR="008B6642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:rsidRPr="00DA7359" w:rsidR="00DA7359" w:rsidP="00DA7359" w:rsidRDefault="00DA7359" w14:paraId="6E3783A1" w14:textId="51311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:rsidRPr="009B6F70"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9B6F70" w:rsidR="008B6642" w:rsidP="008B6642" w:rsidRDefault="00445432" w14:paraId="17ED6F56" w14:textId="5D62B63B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  <w:r w:rsidRPr="009B6F70" w:rsidR="008B6642">
              <w:rPr>
                <w:rFonts w:cstheme="minorHAnsi"/>
                <w:b/>
                <w:bCs/>
              </w:rPr>
              <w:br/>
            </w:r>
            <w:r w:rsidRPr="009B6F70" w:rsidR="008B6642">
              <w:rPr>
                <w:rFonts w:cstheme="minorHAnsi"/>
              </w:rPr>
              <w:t xml:space="preserve">Discuss with expert </w:t>
            </w:r>
            <w:r w:rsidRPr="009B6F70" w:rsidR="007955A7">
              <w:rPr>
                <w:rFonts w:cstheme="minorHAnsi"/>
              </w:rPr>
              <w:t>colleagues’</w:t>
            </w:r>
            <w:r w:rsidRPr="009B6F70" w:rsidR="008B6642">
              <w:rPr>
                <w:rFonts w:cstheme="minorHAnsi"/>
              </w:rPr>
              <w:t xml:space="preserve"> summative assessment, reporting and how data is used.</w:t>
            </w:r>
          </w:p>
          <w:p w:rsidRPr="009B6F70"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9B6F70" w:rsidR="00C66673" w:rsidP="008B6642" w:rsidRDefault="00445432" w14:paraId="767301C9" w14:textId="2B927A18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Pr="009B6F70" w:rsidR="008B6642">
              <w:rPr>
                <w:rFonts w:cstheme="minorHAnsi"/>
                <w:b/>
                <w:bCs/>
              </w:rPr>
              <w:t xml:space="preserve">: </w:t>
            </w:r>
          </w:p>
          <w:p w:rsidRPr="00404424" w:rsidR="00404424" w:rsidP="00404424" w:rsidRDefault="00404424" w14:paraId="3C398D70" w14:textId="4F3EFCC5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:rsidR="00DA7359" w:rsidP="614369A6" w:rsidRDefault="135086E9" w14:paraId="6E0AE93A" w14:textId="2170B079">
            <w:r w:rsidRPr="614369A6">
              <w:t>Identify and access sources of support for their own wellbeing where appropriate.</w:t>
            </w:r>
          </w:p>
          <w:p w:rsidRPr="009B6F70" w:rsidR="00DA7359" w:rsidP="2CC1C8D2" w:rsidRDefault="00DA7359" w14:paraId="468CA129" w14:textId="32FAA77E"/>
        </w:tc>
      </w:tr>
      <w:tr w:rsidRPr="009B6F70" w:rsidR="003B435B" w:rsidTr="614369A6" w14:paraId="4F933ED1" w14:textId="77777777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:rsidRPr="009B6F70" w:rsidR="008B6642" w:rsidP="614369A6" w:rsidRDefault="008B6642" w14:paraId="121825E0" w14:textId="4648FCF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8B6642" w:rsidP="614369A6" w:rsidRDefault="008B6642" w14:paraId="2DEF35DF" w14:textId="5ABA23EB">
            <w:pPr>
              <w:rPr>
                <w:b/>
                <w:bCs/>
                <w:sz w:val="18"/>
                <w:szCs w:val="18"/>
              </w:rPr>
            </w:pPr>
          </w:p>
          <w:p w:rsidRPr="009B6F70" w:rsidR="008B6642" w:rsidP="614369A6" w:rsidRDefault="01C8AB99" w14:paraId="6569B145" w14:textId="5E4C290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8B6642" w:rsidP="614369A6" w:rsidRDefault="008B6642" w14:paraId="0806E086" w14:textId="4D1CF4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:rsidRPr="009B6F70" w:rsidR="008B6642" w:rsidP="614369A6" w:rsidRDefault="008B6642" w14:paraId="128E21FE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8B6642" w:rsidP="614369A6" w:rsidRDefault="008B6642" w14:paraId="0AE01906" w14:textId="14C9750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0B16AA9D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Pr="009B6F70" w:rsidR="008B6642" w:rsidP="614369A6" w:rsidRDefault="008B6642" w14:paraId="2484374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8B6642" w:rsidP="614369A6" w:rsidRDefault="008B6642" w14:paraId="522CB253" w14:textId="25DDEFC4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C37F2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:rsidRPr="009B6F70" w:rsidR="008B6642" w:rsidP="614369A6" w:rsidRDefault="008B6642" w14:paraId="17C20E5E" w14:textId="56F82F6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:rsidRPr="009B6F70" w:rsidR="008B6642" w:rsidP="614369A6" w:rsidRDefault="008B6642" w14:paraId="0AADFB6D" w14:textId="0A402CD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Pr="009B6F70" w:rsidR="000B5AE1" w:rsidTr="614369A6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:rsidRPr="00404424" w:rsidR="00404424" w:rsidP="2CC1C8D2" w:rsidRDefault="00404424" w14:paraId="7DCE224E" w14:textId="2C5D9EF8">
            <w:pPr>
              <w:rPr>
                <w:sz w:val="16"/>
                <w:szCs w:val="16"/>
              </w:rPr>
            </w:pPr>
          </w:p>
          <w:p w:rsidR="00404424" w:rsidP="00404424" w:rsidRDefault="00404424" w14:paraId="60DC34A1" w14:textId="77777777">
            <w:pPr>
              <w:rPr>
                <w:rFonts w:cstheme="minorHAnsi"/>
              </w:rPr>
            </w:pPr>
          </w:p>
          <w:p w:rsidRPr="009B6F70" w:rsidR="00404424" w:rsidP="614369A6" w:rsidRDefault="00404424" w14:paraId="7FD5846A" w14:textId="638F49E9"/>
          <w:p w:rsidRPr="009B6F70" w:rsidR="00404424" w:rsidP="614369A6" w:rsidRDefault="00404424" w14:paraId="78B60E5C" w14:textId="0FD97693"/>
          <w:p w:rsidRPr="009B6F70" w:rsidR="00404424" w:rsidP="614369A6" w:rsidRDefault="00404424" w14:paraId="7D14A1CC" w14:textId="6167E161"/>
          <w:p w:rsidRPr="009B6F70" w:rsidR="00404424" w:rsidP="614369A6" w:rsidRDefault="00404424" w14:paraId="117B26E0" w14:textId="40AA43F2"/>
          <w:p w:rsidRPr="009B6F70" w:rsidR="00404424" w:rsidP="614369A6" w:rsidRDefault="00404424" w14:paraId="34239DB6" w14:textId="1DFE8662"/>
          <w:p w:rsidRPr="009B6F70" w:rsidR="00404424" w:rsidP="614369A6" w:rsidRDefault="00404424" w14:paraId="5C116A1E" w14:textId="6C81DE33"/>
          <w:p w:rsidRPr="009B6F70" w:rsidR="00404424" w:rsidP="614369A6" w:rsidRDefault="00404424" w14:paraId="3DB9816F" w14:textId="3C367616"/>
          <w:p w:rsidRPr="009B6F70" w:rsidR="00404424" w:rsidP="614369A6" w:rsidRDefault="00404424" w14:paraId="7D3D75D1" w14:textId="2C7CD59D"/>
          <w:p w:rsidRPr="009B6F70" w:rsidR="00404424" w:rsidP="614369A6" w:rsidRDefault="00404424" w14:paraId="09B42A98" w14:textId="50397597"/>
          <w:p w:rsidRPr="009B6F70" w:rsidR="00404424" w:rsidP="614369A6" w:rsidRDefault="00404424" w14:paraId="2B7AFDEA" w14:textId="1214DE85"/>
        </w:tc>
        <w:tc>
          <w:tcPr>
            <w:tcW w:w="1566" w:type="dxa"/>
          </w:tcPr>
          <w:p w:rsidRPr="00353F20" w:rsidR="00A87719" w:rsidP="2CC1C8D2" w:rsidRDefault="00A87719" w14:paraId="286BD460" w14:textId="26F87A1D"/>
        </w:tc>
        <w:tc>
          <w:tcPr>
            <w:tcW w:w="1701" w:type="dxa"/>
          </w:tcPr>
          <w:p w:rsidR="00353F20" w:rsidP="00353F20" w:rsidRDefault="00353F20" w14:paraId="305ECCCB" w14:textId="77777777">
            <w:pPr>
              <w:rPr>
                <w:rFonts w:cstheme="minorHAnsi"/>
              </w:rPr>
            </w:pPr>
          </w:p>
          <w:p w:rsidRPr="00924759" w:rsidR="00353F20" w:rsidP="2CC1C8D2" w:rsidRDefault="00353F20" w14:paraId="6B4B34E6" w14:textId="0A97B484"/>
        </w:tc>
        <w:tc>
          <w:tcPr>
            <w:tcW w:w="2194" w:type="dxa"/>
          </w:tcPr>
          <w:p w:rsidRPr="00DA7359" w:rsidR="000B5AE1" w:rsidP="2CC1C8D2" w:rsidRDefault="000B5AE1" w14:paraId="4BBF1C99" w14:textId="40B7FCAB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:rsidRPr="009B6F70" w:rsidR="00353F20" w:rsidP="2CC1C8D2" w:rsidRDefault="00353F20" w14:paraId="0A0F251E" w14:textId="2FDE1186">
            <w:pPr>
              <w:rPr>
                <w:sz w:val="16"/>
                <w:szCs w:val="16"/>
              </w:rPr>
            </w:pPr>
          </w:p>
        </w:tc>
      </w:tr>
    </w:tbl>
    <w:bookmarkEnd w:id="8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Pr="009B6F70" w:rsidR="00757F1D" w:rsidSect="000D42D9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4D91" w:rsidP="00D33357" w:rsidRDefault="002E4D91" w14:paraId="21F07458" w14:textId="77777777">
      <w:pPr>
        <w:spacing w:after="0" w:line="240" w:lineRule="auto"/>
      </w:pPr>
      <w:r>
        <w:separator/>
      </w:r>
    </w:p>
  </w:endnote>
  <w:endnote w:type="continuationSeparator" w:id="0">
    <w:p w:rsidR="002E4D91" w:rsidP="00D33357" w:rsidRDefault="002E4D91" w14:paraId="03054DD2" w14:textId="77777777">
      <w:pPr>
        <w:spacing w:after="0" w:line="240" w:lineRule="auto"/>
      </w:pPr>
      <w:r>
        <w:continuationSeparator/>
      </w:r>
    </w:p>
  </w:endnote>
  <w:endnote w:type="continuationNotice" w:id="1">
    <w:p w:rsidR="002E4D91" w:rsidRDefault="002E4D91" w14:paraId="4726C7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4D91" w:rsidP="00D33357" w:rsidRDefault="002E4D91" w14:paraId="7552427B" w14:textId="77777777">
      <w:pPr>
        <w:spacing w:after="0" w:line="240" w:lineRule="auto"/>
      </w:pPr>
      <w:r>
        <w:separator/>
      </w:r>
    </w:p>
  </w:footnote>
  <w:footnote w:type="continuationSeparator" w:id="0">
    <w:p w:rsidR="002E4D91" w:rsidP="00D33357" w:rsidRDefault="002E4D91" w14:paraId="33386114" w14:textId="77777777">
      <w:pPr>
        <w:spacing w:after="0" w:line="240" w:lineRule="auto"/>
      </w:pPr>
      <w:r>
        <w:continuationSeparator/>
      </w:r>
    </w:p>
  </w:footnote>
  <w:footnote w:type="continuationNotice" w:id="1">
    <w:p w:rsidR="002E4D91" w:rsidRDefault="002E4D91" w14:paraId="7B9A0D2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497C2F"/>
    <w:multiLevelType w:val="multilevel"/>
    <w:tmpl w:val="BBF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1" w15:restartNumberingAfterBreak="0">
    <w:nsid w:val="624E136B"/>
    <w:multiLevelType w:val="multilevel"/>
    <w:tmpl w:val="264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4175C4"/>
    <w:multiLevelType w:val="multilevel"/>
    <w:tmpl w:val="527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12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7"/>
  </w:num>
  <w:num w:numId="8" w16cid:durableId="1372848725">
    <w:abstractNumId w:val="2"/>
  </w:num>
  <w:num w:numId="9" w16cid:durableId="1660766020">
    <w:abstractNumId w:val="16"/>
  </w:num>
  <w:num w:numId="10" w16cid:durableId="2074767514">
    <w:abstractNumId w:val="18"/>
  </w:num>
  <w:num w:numId="11" w16cid:durableId="1732651980">
    <w:abstractNumId w:val="15"/>
  </w:num>
  <w:num w:numId="12" w16cid:durableId="1458255300">
    <w:abstractNumId w:val="13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7"/>
  </w:num>
  <w:num w:numId="16" w16cid:durableId="1158964394">
    <w:abstractNumId w:val="0"/>
  </w:num>
  <w:num w:numId="17" w16cid:durableId="1685748352">
    <w:abstractNumId w:val="14"/>
  </w:num>
  <w:num w:numId="18" w16cid:durableId="1852063966">
    <w:abstractNumId w:val="11"/>
  </w:num>
  <w:num w:numId="19" w16cid:durableId="2029285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33B51"/>
    <w:rsid w:val="0006101E"/>
    <w:rsid w:val="00070110"/>
    <w:rsid w:val="00070151"/>
    <w:rsid w:val="0008147F"/>
    <w:rsid w:val="00081693"/>
    <w:rsid w:val="0008458E"/>
    <w:rsid w:val="00093BA9"/>
    <w:rsid w:val="000A2FC8"/>
    <w:rsid w:val="000B5AE1"/>
    <w:rsid w:val="000C3589"/>
    <w:rsid w:val="000D42D9"/>
    <w:rsid w:val="000D52DF"/>
    <w:rsid w:val="000D64A0"/>
    <w:rsid w:val="000E4484"/>
    <w:rsid w:val="000E7276"/>
    <w:rsid w:val="000F19FA"/>
    <w:rsid w:val="000F4235"/>
    <w:rsid w:val="000F77AD"/>
    <w:rsid w:val="0010394E"/>
    <w:rsid w:val="00113BEE"/>
    <w:rsid w:val="00113D89"/>
    <w:rsid w:val="001150FA"/>
    <w:rsid w:val="00117C47"/>
    <w:rsid w:val="00120799"/>
    <w:rsid w:val="001225BB"/>
    <w:rsid w:val="00136076"/>
    <w:rsid w:val="00137E24"/>
    <w:rsid w:val="00141216"/>
    <w:rsid w:val="00145137"/>
    <w:rsid w:val="0014523D"/>
    <w:rsid w:val="00153036"/>
    <w:rsid w:val="00153802"/>
    <w:rsid w:val="001579FB"/>
    <w:rsid w:val="00180374"/>
    <w:rsid w:val="00180818"/>
    <w:rsid w:val="0018552D"/>
    <w:rsid w:val="00191E4F"/>
    <w:rsid w:val="001923A7"/>
    <w:rsid w:val="001963E6"/>
    <w:rsid w:val="001A1D34"/>
    <w:rsid w:val="001D3AAB"/>
    <w:rsid w:val="001D4A83"/>
    <w:rsid w:val="001D6CFE"/>
    <w:rsid w:val="001E2E3B"/>
    <w:rsid w:val="001E5100"/>
    <w:rsid w:val="00200797"/>
    <w:rsid w:val="00223EE0"/>
    <w:rsid w:val="00231406"/>
    <w:rsid w:val="00236398"/>
    <w:rsid w:val="002415F5"/>
    <w:rsid w:val="00241F70"/>
    <w:rsid w:val="00254CA2"/>
    <w:rsid w:val="0025609D"/>
    <w:rsid w:val="00257B79"/>
    <w:rsid w:val="00267275"/>
    <w:rsid w:val="0027387C"/>
    <w:rsid w:val="00274D97"/>
    <w:rsid w:val="002925C5"/>
    <w:rsid w:val="002A18FE"/>
    <w:rsid w:val="002A2FFB"/>
    <w:rsid w:val="002B1337"/>
    <w:rsid w:val="002B344B"/>
    <w:rsid w:val="002B5891"/>
    <w:rsid w:val="002B68FB"/>
    <w:rsid w:val="002C0FB3"/>
    <w:rsid w:val="002C2C57"/>
    <w:rsid w:val="002C4CD4"/>
    <w:rsid w:val="002C694E"/>
    <w:rsid w:val="002D167D"/>
    <w:rsid w:val="002D5BC6"/>
    <w:rsid w:val="002E4D91"/>
    <w:rsid w:val="002F05B3"/>
    <w:rsid w:val="002F2ACB"/>
    <w:rsid w:val="002F3793"/>
    <w:rsid w:val="00301974"/>
    <w:rsid w:val="00303058"/>
    <w:rsid w:val="003057EC"/>
    <w:rsid w:val="00320700"/>
    <w:rsid w:val="00336978"/>
    <w:rsid w:val="00353A34"/>
    <w:rsid w:val="00353F20"/>
    <w:rsid w:val="00355346"/>
    <w:rsid w:val="00365BDB"/>
    <w:rsid w:val="00376116"/>
    <w:rsid w:val="00391AA7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21878"/>
    <w:rsid w:val="0042618B"/>
    <w:rsid w:val="0043041E"/>
    <w:rsid w:val="004371C1"/>
    <w:rsid w:val="00445432"/>
    <w:rsid w:val="004534A9"/>
    <w:rsid w:val="00454ECA"/>
    <w:rsid w:val="00456EFE"/>
    <w:rsid w:val="004575C3"/>
    <w:rsid w:val="0047246B"/>
    <w:rsid w:val="00480E6F"/>
    <w:rsid w:val="004812CF"/>
    <w:rsid w:val="0048405A"/>
    <w:rsid w:val="00485723"/>
    <w:rsid w:val="00494B59"/>
    <w:rsid w:val="004A490C"/>
    <w:rsid w:val="004B1A0D"/>
    <w:rsid w:val="004C73E6"/>
    <w:rsid w:val="004D5B26"/>
    <w:rsid w:val="004D5FDA"/>
    <w:rsid w:val="004D6F6C"/>
    <w:rsid w:val="004E14B1"/>
    <w:rsid w:val="004E37CD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63DC"/>
    <w:rsid w:val="00531976"/>
    <w:rsid w:val="00536B6F"/>
    <w:rsid w:val="00552235"/>
    <w:rsid w:val="005618F0"/>
    <w:rsid w:val="00567659"/>
    <w:rsid w:val="00570238"/>
    <w:rsid w:val="00575136"/>
    <w:rsid w:val="00590EBE"/>
    <w:rsid w:val="0059304C"/>
    <w:rsid w:val="00594068"/>
    <w:rsid w:val="005975C4"/>
    <w:rsid w:val="005A3E89"/>
    <w:rsid w:val="005A3FDA"/>
    <w:rsid w:val="005A4ED3"/>
    <w:rsid w:val="005A7C47"/>
    <w:rsid w:val="005B129F"/>
    <w:rsid w:val="005C415E"/>
    <w:rsid w:val="005C428B"/>
    <w:rsid w:val="005C744A"/>
    <w:rsid w:val="005D2E8F"/>
    <w:rsid w:val="005E091A"/>
    <w:rsid w:val="00600896"/>
    <w:rsid w:val="0061311A"/>
    <w:rsid w:val="0061394C"/>
    <w:rsid w:val="00620A02"/>
    <w:rsid w:val="0062430D"/>
    <w:rsid w:val="006352ED"/>
    <w:rsid w:val="00637C12"/>
    <w:rsid w:val="00653369"/>
    <w:rsid w:val="00663995"/>
    <w:rsid w:val="00665D7D"/>
    <w:rsid w:val="0067154D"/>
    <w:rsid w:val="00687ED4"/>
    <w:rsid w:val="006A755B"/>
    <w:rsid w:val="006B4197"/>
    <w:rsid w:val="006B4CBA"/>
    <w:rsid w:val="006C3065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10F19"/>
    <w:rsid w:val="00731BCC"/>
    <w:rsid w:val="007324CD"/>
    <w:rsid w:val="0073250C"/>
    <w:rsid w:val="007461DF"/>
    <w:rsid w:val="00756195"/>
    <w:rsid w:val="00757F1D"/>
    <w:rsid w:val="00771CFA"/>
    <w:rsid w:val="0078198F"/>
    <w:rsid w:val="00781D01"/>
    <w:rsid w:val="00783F70"/>
    <w:rsid w:val="00791DC7"/>
    <w:rsid w:val="007955A7"/>
    <w:rsid w:val="007A051B"/>
    <w:rsid w:val="007B266F"/>
    <w:rsid w:val="007D048D"/>
    <w:rsid w:val="007D7689"/>
    <w:rsid w:val="007E887F"/>
    <w:rsid w:val="007F575D"/>
    <w:rsid w:val="0080443B"/>
    <w:rsid w:val="00804839"/>
    <w:rsid w:val="008105FF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82900"/>
    <w:rsid w:val="00897D40"/>
    <w:rsid w:val="00897EEC"/>
    <w:rsid w:val="008A6BDE"/>
    <w:rsid w:val="008B6642"/>
    <w:rsid w:val="008C1B6D"/>
    <w:rsid w:val="008D0892"/>
    <w:rsid w:val="009058C9"/>
    <w:rsid w:val="00906115"/>
    <w:rsid w:val="00914503"/>
    <w:rsid w:val="00916E30"/>
    <w:rsid w:val="00924759"/>
    <w:rsid w:val="0093067E"/>
    <w:rsid w:val="00935A53"/>
    <w:rsid w:val="009427B6"/>
    <w:rsid w:val="00945359"/>
    <w:rsid w:val="00955CDE"/>
    <w:rsid w:val="009633FF"/>
    <w:rsid w:val="00976CCD"/>
    <w:rsid w:val="0098112A"/>
    <w:rsid w:val="00992F5B"/>
    <w:rsid w:val="009A04FD"/>
    <w:rsid w:val="009B3281"/>
    <w:rsid w:val="009B5DCB"/>
    <w:rsid w:val="009B6F70"/>
    <w:rsid w:val="009E1D44"/>
    <w:rsid w:val="009F0B14"/>
    <w:rsid w:val="00A029D6"/>
    <w:rsid w:val="00A07B46"/>
    <w:rsid w:val="00A10021"/>
    <w:rsid w:val="00A13389"/>
    <w:rsid w:val="00A214EA"/>
    <w:rsid w:val="00A24A85"/>
    <w:rsid w:val="00A25062"/>
    <w:rsid w:val="00A40FDA"/>
    <w:rsid w:val="00A41CE7"/>
    <w:rsid w:val="00A500A6"/>
    <w:rsid w:val="00A5712B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AF7DCF"/>
    <w:rsid w:val="00B07754"/>
    <w:rsid w:val="00B1137C"/>
    <w:rsid w:val="00B13E1E"/>
    <w:rsid w:val="00B249AC"/>
    <w:rsid w:val="00B32935"/>
    <w:rsid w:val="00B44BAE"/>
    <w:rsid w:val="00B50B37"/>
    <w:rsid w:val="00B541EA"/>
    <w:rsid w:val="00B6181D"/>
    <w:rsid w:val="00B64096"/>
    <w:rsid w:val="00B70532"/>
    <w:rsid w:val="00B872C9"/>
    <w:rsid w:val="00BC2F85"/>
    <w:rsid w:val="00BC7393"/>
    <w:rsid w:val="00BE2D13"/>
    <w:rsid w:val="00BE2E26"/>
    <w:rsid w:val="00BF2A2C"/>
    <w:rsid w:val="00BF74B3"/>
    <w:rsid w:val="00BF76BC"/>
    <w:rsid w:val="00C03775"/>
    <w:rsid w:val="00C044CF"/>
    <w:rsid w:val="00C04C87"/>
    <w:rsid w:val="00C14969"/>
    <w:rsid w:val="00C165EC"/>
    <w:rsid w:val="00C2028E"/>
    <w:rsid w:val="00C30F12"/>
    <w:rsid w:val="00C32085"/>
    <w:rsid w:val="00C40E69"/>
    <w:rsid w:val="00C42BDB"/>
    <w:rsid w:val="00C61BA0"/>
    <w:rsid w:val="00C66673"/>
    <w:rsid w:val="00C6713A"/>
    <w:rsid w:val="00C74802"/>
    <w:rsid w:val="00C96181"/>
    <w:rsid w:val="00CA6B81"/>
    <w:rsid w:val="00CA7724"/>
    <w:rsid w:val="00CB2A23"/>
    <w:rsid w:val="00CD707D"/>
    <w:rsid w:val="00CE3927"/>
    <w:rsid w:val="00CE6F8D"/>
    <w:rsid w:val="00D0275F"/>
    <w:rsid w:val="00D102FA"/>
    <w:rsid w:val="00D33357"/>
    <w:rsid w:val="00D37BC4"/>
    <w:rsid w:val="00D5161E"/>
    <w:rsid w:val="00D5472B"/>
    <w:rsid w:val="00D73F05"/>
    <w:rsid w:val="00D925C3"/>
    <w:rsid w:val="00DA7359"/>
    <w:rsid w:val="00DB5AD3"/>
    <w:rsid w:val="00DC0BE1"/>
    <w:rsid w:val="00DD3141"/>
    <w:rsid w:val="00DD3680"/>
    <w:rsid w:val="00DD6AB7"/>
    <w:rsid w:val="00DE1172"/>
    <w:rsid w:val="00DE15EC"/>
    <w:rsid w:val="00DE1F0E"/>
    <w:rsid w:val="00E018E6"/>
    <w:rsid w:val="00E01B38"/>
    <w:rsid w:val="00E03DBB"/>
    <w:rsid w:val="00E04E56"/>
    <w:rsid w:val="00E16EAF"/>
    <w:rsid w:val="00E22A6D"/>
    <w:rsid w:val="00E35E15"/>
    <w:rsid w:val="00E4403A"/>
    <w:rsid w:val="00E724E7"/>
    <w:rsid w:val="00E76B3A"/>
    <w:rsid w:val="00E97263"/>
    <w:rsid w:val="00EA2FA9"/>
    <w:rsid w:val="00EB48FA"/>
    <w:rsid w:val="00EB65A6"/>
    <w:rsid w:val="00EB7504"/>
    <w:rsid w:val="00EC46C9"/>
    <w:rsid w:val="00EC536A"/>
    <w:rsid w:val="00ED09EE"/>
    <w:rsid w:val="00EF2C86"/>
    <w:rsid w:val="00EF5C1C"/>
    <w:rsid w:val="00F10E6C"/>
    <w:rsid w:val="00F10ECA"/>
    <w:rsid w:val="00F222B9"/>
    <w:rsid w:val="00F253AC"/>
    <w:rsid w:val="00F323CB"/>
    <w:rsid w:val="00F43C17"/>
    <w:rsid w:val="00F45ECE"/>
    <w:rsid w:val="00F56AFA"/>
    <w:rsid w:val="00F60FD4"/>
    <w:rsid w:val="00F76E3A"/>
    <w:rsid w:val="00FA6853"/>
    <w:rsid w:val="00FB4E81"/>
    <w:rsid w:val="00FB4FF0"/>
    <w:rsid w:val="00FE2B7E"/>
    <w:rsid w:val="01C8AB99"/>
    <w:rsid w:val="01FA8850"/>
    <w:rsid w:val="0262B012"/>
    <w:rsid w:val="02B3A96C"/>
    <w:rsid w:val="0303C536"/>
    <w:rsid w:val="032F097D"/>
    <w:rsid w:val="034B27FA"/>
    <w:rsid w:val="044AC7A6"/>
    <w:rsid w:val="04851810"/>
    <w:rsid w:val="048A92AC"/>
    <w:rsid w:val="0525C9A1"/>
    <w:rsid w:val="064BC61E"/>
    <w:rsid w:val="06F34F4B"/>
    <w:rsid w:val="092A1F4C"/>
    <w:rsid w:val="09D39B54"/>
    <w:rsid w:val="0ACC796E"/>
    <w:rsid w:val="0B16AA9D"/>
    <w:rsid w:val="0B3E6C07"/>
    <w:rsid w:val="0B6251FB"/>
    <w:rsid w:val="0D06860A"/>
    <w:rsid w:val="0F2C2A8C"/>
    <w:rsid w:val="0FF7C876"/>
    <w:rsid w:val="1043F854"/>
    <w:rsid w:val="10B6BC62"/>
    <w:rsid w:val="10EF2C18"/>
    <w:rsid w:val="1265E921"/>
    <w:rsid w:val="12E138D4"/>
    <w:rsid w:val="135086E9"/>
    <w:rsid w:val="1369DE30"/>
    <w:rsid w:val="139BA396"/>
    <w:rsid w:val="13F8FE73"/>
    <w:rsid w:val="13FE64B0"/>
    <w:rsid w:val="1425632E"/>
    <w:rsid w:val="146874DB"/>
    <w:rsid w:val="14A7109F"/>
    <w:rsid w:val="152F3CE5"/>
    <w:rsid w:val="1560122E"/>
    <w:rsid w:val="15D9A03F"/>
    <w:rsid w:val="15F1B55A"/>
    <w:rsid w:val="166DD897"/>
    <w:rsid w:val="16CF8B8A"/>
    <w:rsid w:val="174DE022"/>
    <w:rsid w:val="18D26B98"/>
    <w:rsid w:val="1955AEE2"/>
    <w:rsid w:val="19DDB2E0"/>
    <w:rsid w:val="1A0424C0"/>
    <w:rsid w:val="1AA07B53"/>
    <w:rsid w:val="1AD0795C"/>
    <w:rsid w:val="1AF5B30B"/>
    <w:rsid w:val="1B2F746B"/>
    <w:rsid w:val="1B5AB79D"/>
    <w:rsid w:val="1BCE8C41"/>
    <w:rsid w:val="1BF81B58"/>
    <w:rsid w:val="1C10AFF2"/>
    <w:rsid w:val="1C13DCBB"/>
    <w:rsid w:val="1D4AAD8A"/>
    <w:rsid w:val="1D6DBADC"/>
    <w:rsid w:val="1D83A51D"/>
    <w:rsid w:val="20D5928B"/>
    <w:rsid w:val="220AC0D9"/>
    <w:rsid w:val="225F9113"/>
    <w:rsid w:val="226223E1"/>
    <w:rsid w:val="2263AC92"/>
    <w:rsid w:val="2303F01F"/>
    <w:rsid w:val="246C884C"/>
    <w:rsid w:val="24712188"/>
    <w:rsid w:val="249A6EF1"/>
    <w:rsid w:val="251B5777"/>
    <w:rsid w:val="25CA5632"/>
    <w:rsid w:val="25DF81E2"/>
    <w:rsid w:val="26BAC876"/>
    <w:rsid w:val="2706DBA2"/>
    <w:rsid w:val="2778DA71"/>
    <w:rsid w:val="278D69A1"/>
    <w:rsid w:val="27FBB291"/>
    <w:rsid w:val="28159C1B"/>
    <w:rsid w:val="28819A2A"/>
    <w:rsid w:val="28E0A964"/>
    <w:rsid w:val="2A6FC506"/>
    <w:rsid w:val="2AE56597"/>
    <w:rsid w:val="2AF28664"/>
    <w:rsid w:val="2BD4B2FE"/>
    <w:rsid w:val="2BF5C702"/>
    <w:rsid w:val="2C3B77DE"/>
    <w:rsid w:val="2C6FFDF0"/>
    <w:rsid w:val="2CC1C8D2"/>
    <w:rsid w:val="2D1E8CF4"/>
    <w:rsid w:val="2D82A63C"/>
    <w:rsid w:val="2D89C483"/>
    <w:rsid w:val="2DB22C8E"/>
    <w:rsid w:val="2ED3E0B4"/>
    <w:rsid w:val="2F2CF6A5"/>
    <w:rsid w:val="2F2E7DA2"/>
    <w:rsid w:val="2F5F3E80"/>
    <w:rsid w:val="2F95B025"/>
    <w:rsid w:val="2FF21995"/>
    <w:rsid w:val="2FF51420"/>
    <w:rsid w:val="30300968"/>
    <w:rsid w:val="320BF9C2"/>
    <w:rsid w:val="3265220F"/>
    <w:rsid w:val="32AB9C9C"/>
    <w:rsid w:val="33E4AE28"/>
    <w:rsid w:val="33E4D3A2"/>
    <w:rsid w:val="33F5E365"/>
    <w:rsid w:val="34B5B800"/>
    <w:rsid w:val="3528236C"/>
    <w:rsid w:val="3617A535"/>
    <w:rsid w:val="362A5A9F"/>
    <w:rsid w:val="36457FDE"/>
    <w:rsid w:val="36DB5170"/>
    <w:rsid w:val="38EC779B"/>
    <w:rsid w:val="39AF02D6"/>
    <w:rsid w:val="39E27AD4"/>
    <w:rsid w:val="3ACAE55D"/>
    <w:rsid w:val="3BB5CD7A"/>
    <w:rsid w:val="3BDD47DA"/>
    <w:rsid w:val="3BF5672B"/>
    <w:rsid w:val="3C37F2C6"/>
    <w:rsid w:val="3C71EF36"/>
    <w:rsid w:val="3D03C899"/>
    <w:rsid w:val="3D3AF63F"/>
    <w:rsid w:val="3D8CA66E"/>
    <w:rsid w:val="3E24C443"/>
    <w:rsid w:val="3E605743"/>
    <w:rsid w:val="3E927F71"/>
    <w:rsid w:val="3F43B062"/>
    <w:rsid w:val="3F4566C6"/>
    <w:rsid w:val="3FB68509"/>
    <w:rsid w:val="3FEBE497"/>
    <w:rsid w:val="3FF16E1C"/>
    <w:rsid w:val="405FE74D"/>
    <w:rsid w:val="408D5BD4"/>
    <w:rsid w:val="40CAADCE"/>
    <w:rsid w:val="429ACEE3"/>
    <w:rsid w:val="42C9DA26"/>
    <w:rsid w:val="44CB47EC"/>
    <w:rsid w:val="44F5F65B"/>
    <w:rsid w:val="450C6E13"/>
    <w:rsid w:val="45318FDD"/>
    <w:rsid w:val="45ABDF84"/>
    <w:rsid w:val="462396D4"/>
    <w:rsid w:val="46DD46FB"/>
    <w:rsid w:val="47FB2978"/>
    <w:rsid w:val="48AC093A"/>
    <w:rsid w:val="48B69379"/>
    <w:rsid w:val="49F8C662"/>
    <w:rsid w:val="4AFDA25B"/>
    <w:rsid w:val="4CC63100"/>
    <w:rsid w:val="4DAC3C77"/>
    <w:rsid w:val="4E8A41C8"/>
    <w:rsid w:val="4F566CB7"/>
    <w:rsid w:val="505FAA11"/>
    <w:rsid w:val="50A2AF51"/>
    <w:rsid w:val="511AB57E"/>
    <w:rsid w:val="514FFC12"/>
    <w:rsid w:val="51D86F96"/>
    <w:rsid w:val="51E6F9DA"/>
    <w:rsid w:val="52FC3B0B"/>
    <w:rsid w:val="53BD08EA"/>
    <w:rsid w:val="55754FBB"/>
    <w:rsid w:val="55C0F556"/>
    <w:rsid w:val="560FE706"/>
    <w:rsid w:val="56628766"/>
    <w:rsid w:val="589622CE"/>
    <w:rsid w:val="59ACD718"/>
    <w:rsid w:val="59BC62CD"/>
    <w:rsid w:val="5A815224"/>
    <w:rsid w:val="5AFFFF37"/>
    <w:rsid w:val="5B0D7A18"/>
    <w:rsid w:val="5B375AB8"/>
    <w:rsid w:val="5B739284"/>
    <w:rsid w:val="5CC1479B"/>
    <w:rsid w:val="5D2BBBC6"/>
    <w:rsid w:val="5D943AEC"/>
    <w:rsid w:val="5DCF0113"/>
    <w:rsid w:val="5DE82113"/>
    <w:rsid w:val="5E4A9761"/>
    <w:rsid w:val="5F3600DA"/>
    <w:rsid w:val="5F6444D3"/>
    <w:rsid w:val="5F8F0D88"/>
    <w:rsid w:val="5FD67274"/>
    <w:rsid w:val="5FDBF982"/>
    <w:rsid w:val="60391BC9"/>
    <w:rsid w:val="614369A6"/>
    <w:rsid w:val="61D7473F"/>
    <w:rsid w:val="6224EFE0"/>
    <w:rsid w:val="628F5CEB"/>
    <w:rsid w:val="62AED435"/>
    <w:rsid w:val="62F709A2"/>
    <w:rsid w:val="644677CF"/>
    <w:rsid w:val="645603DB"/>
    <w:rsid w:val="645FD758"/>
    <w:rsid w:val="647E7509"/>
    <w:rsid w:val="65E384C4"/>
    <w:rsid w:val="664E12F2"/>
    <w:rsid w:val="667DD250"/>
    <w:rsid w:val="67095EB2"/>
    <w:rsid w:val="677162AC"/>
    <w:rsid w:val="68059644"/>
    <w:rsid w:val="68460032"/>
    <w:rsid w:val="692D4AE0"/>
    <w:rsid w:val="6A4AF4D1"/>
    <w:rsid w:val="6B01CCC5"/>
    <w:rsid w:val="6B75BB66"/>
    <w:rsid w:val="6C38D199"/>
    <w:rsid w:val="6C3E6FAD"/>
    <w:rsid w:val="6C42CEC6"/>
    <w:rsid w:val="6C5BC61E"/>
    <w:rsid w:val="6D305904"/>
    <w:rsid w:val="6DAFBA3B"/>
    <w:rsid w:val="6E307635"/>
    <w:rsid w:val="6F281B97"/>
    <w:rsid w:val="6F5E02A5"/>
    <w:rsid w:val="6FE9C56B"/>
    <w:rsid w:val="70740435"/>
    <w:rsid w:val="707D4E22"/>
    <w:rsid w:val="70C25966"/>
    <w:rsid w:val="71A1A436"/>
    <w:rsid w:val="71C4D453"/>
    <w:rsid w:val="71C5918F"/>
    <w:rsid w:val="71FDD19F"/>
    <w:rsid w:val="72611459"/>
    <w:rsid w:val="72617E90"/>
    <w:rsid w:val="72696754"/>
    <w:rsid w:val="73844C0E"/>
    <w:rsid w:val="738F382D"/>
    <w:rsid w:val="73C68611"/>
    <w:rsid w:val="749010B1"/>
    <w:rsid w:val="74D8DAC5"/>
    <w:rsid w:val="74FF2550"/>
    <w:rsid w:val="75B98AFB"/>
    <w:rsid w:val="76A6C60E"/>
    <w:rsid w:val="76BC60A9"/>
    <w:rsid w:val="76F0DF8C"/>
    <w:rsid w:val="77CE08C5"/>
    <w:rsid w:val="77FE5788"/>
    <w:rsid w:val="7880477A"/>
    <w:rsid w:val="799DBC6D"/>
    <w:rsid w:val="7A9E29C6"/>
    <w:rsid w:val="7AC1E251"/>
    <w:rsid w:val="7B2D917E"/>
    <w:rsid w:val="7BAA5431"/>
    <w:rsid w:val="7BC54893"/>
    <w:rsid w:val="7BDC1A77"/>
    <w:rsid w:val="7C04432A"/>
    <w:rsid w:val="7C3E06FA"/>
    <w:rsid w:val="7E26F138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cxw94222404" w:customStyle="1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otc.org.uk/wp-content/uploads/2011/03/G1.-LOtC-Manifesto.pdf" TargetMode="External" Id="R14762c249c454752" /><Relationship Type="http://schemas.openxmlformats.org/officeDocument/2006/relationships/hyperlink" Target="https://www.lotc.org.uk/wp-content/uploads/2011/03/G1.-LOtC-Manifesto.pdf" TargetMode="External" Id="R82b2319205ae4733" /><Relationship Type="http://schemas.openxmlformats.org/officeDocument/2006/relationships/hyperlink" Target="https://journals.sagepub.com/doi/full/10.1177/0885412215595441%20on%20October%202022" TargetMode="External" Id="Rf8a93a7af03c46fd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a71f62132ef94b93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503dd20b79154a48" /><Relationship Type="http://schemas.openxmlformats.org/officeDocument/2006/relationships/hyperlink" Target="http://www.lotc.org.uk/wp-content/uploads/2011/09/KCL-LINE-benefits-final-version.pdf" TargetMode="External" Id="Rf5837baf402b4703" /><Relationship Type="http://schemas.openxmlformats.org/officeDocument/2006/relationships/hyperlink" Target="https://journals.sagepub.com/doi/full/10.1177/0885412215595441%20on%20October%202022" TargetMode="External" Id="R5cd4332f4c2947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253f297d-9a36-4c25-8212-c09578b9df7c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FE5DF-3EDA-432D-B18C-EE67BE8E33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Yvonne Shone</cp:lastModifiedBy>
  <cp:revision>64</cp:revision>
  <dcterms:created xsi:type="dcterms:W3CDTF">2024-06-28T10:28:00Z</dcterms:created>
  <dcterms:modified xsi:type="dcterms:W3CDTF">2024-07-17T07:57:59Z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