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1C31" w14:textId="1233F7EA" w:rsidR="006D12F4" w:rsidRPr="00861B5E" w:rsidRDefault="006D12F4" w:rsidP="00F3525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61B5E">
        <w:rPr>
          <w:rFonts w:ascii="Arial" w:hAnsi="Arial" w:cs="Arial"/>
          <w:b/>
          <w:bCs/>
          <w:sz w:val="20"/>
          <w:szCs w:val="20"/>
          <w:u w:val="single"/>
        </w:rPr>
        <w:t xml:space="preserve">Primary </w:t>
      </w:r>
      <w:r w:rsidR="00C6713A" w:rsidRPr="00861B5E">
        <w:rPr>
          <w:rFonts w:ascii="Arial" w:hAnsi="Arial" w:cs="Arial"/>
          <w:b/>
          <w:bCs/>
          <w:sz w:val="20"/>
          <w:szCs w:val="20"/>
          <w:u w:val="single"/>
        </w:rPr>
        <w:t xml:space="preserve">Curriculum Map </w:t>
      </w:r>
      <w:r w:rsidRPr="00861B5E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DF5DC2">
        <w:rPr>
          <w:rFonts w:ascii="Arial" w:hAnsi="Arial" w:cs="Arial"/>
          <w:b/>
          <w:bCs/>
          <w:sz w:val="20"/>
          <w:szCs w:val="20"/>
          <w:u w:val="single"/>
        </w:rPr>
        <w:t>Languages</w:t>
      </w:r>
      <w:r w:rsidRPr="00861B5E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B84477">
        <w:rPr>
          <w:rFonts w:ascii="Arial" w:hAnsi="Arial" w:cs="Arial"/>
          <w:b/>
          <w:bCs/>
          <w:sz w:val="20"/>
          <w:szCs w:val="20"/>
          <w:u w:val="single"/>
        </w:rPr>
        <w:t xml:space="preserve"> School Based 2024-25</w:t>
      </w:r>
    </w:p>
    <w:p w14:paraId="63254608" w14:textId="7EF8037C" w:rsidR="003D7431" w:rsidRPr="00861B5E" w:rsidRDefault="00623BD8" w:rsidP="00A624F0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Level 4 </w:t>
      </w:r>
      <w:r w:rsidR="006D12F4" w:rsidRPr="00861B5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Undergraduate</w:t>
      </w:r>
      <w:r w:rsidR="00AF3A47" w:rsidRPr="00861B5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5A0" w:firstRow="1" w:lastRow="0" w:firstColumn="1" w:lastColumn="1" w:noHBand="0" w:noVBand="1"/>
      </w:tblPr>
      <w:tblGrid>
        <w:gridCol w:w="1413"/>
        <w:gridCol w:w="4111"/>
        <w:gridCol w:w="1275"/>
        <w:gridCol w:w="1418"/>
        <w:gridCol w:w="3311"/>
        <w:gridCol w:w="2420"/>
      </w:tblGrid>
      <w:tr w:rsidR="003B3F79" w:rsidRPr="00861B5E" w14:paraId="567489B4" w14:textId="77777777" w:rsidTr="001A0646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327BE7B3" w14:textId="3E35C796" w:rsidR="003B3F79" w:rsidRPr="00861B5E" w:rsidRDefault="003B3F79" w:rsidP="006D1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5137347"/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University Curriculum</w:t>
            </w:r>
            <w:r w:rsidR="002B344B"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FA6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Based - </w:t>
            </w:r>
            <w:r w:rsidR="006D309E">
              <w:rPr>
                <w:rFonts w:ascii="Arial" w:hAnsi="Arial" w:cs="Arial"/>
                <w:b/>
                <w:bCs/>
                <w:sz w:val="20"/>
                <w:szCs w:val="20"/>
              </w:rPr>
              <w:t>Level 4</w:t>
            </w:r>
          </w:p>
        </w:tc>
      </w:tr>
      <w:tr w:rsidR="005F009B" w:rsidRPr="00861B5E" w14:paraId="7756CE6F" w14:textId="77777777" w:rsidTr="00163A8B">
        <w:trPr>
          <w:trHeight w:val="464"/>
        </w:trPr>
        <w:tc>
          <w:tcPr>
            <w:tcW w:w="1413" w:type="dxa"/>
            <w:shd w:val="clear" w:color="auto" w:fill="C5E0B3" w:themeFill="accent6" w:themeFillTint="66"/>
          </w:tcPr>
          <w:p w14:paraId="4F553C28" w14:textId="227B9A38" w:rsidR="005F009B" w:rsidRPr="00861B5E" w:rsidRDefault="005F009B" w:rsidP="005F0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35140532"/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Session Sequence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14:paraId="13F1B4DC" w14:textId="7AD8082B" w:rsidR="005F009B" w:rsidRPr="00861B5E" w:rsidRDefault="005F009B" w:rsidP="005F0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Session Content Subject Specific Components/s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9E9309" w14:textId="77777777" w:rsidR="005F009B" w:rsidRPr="009B6F70" w:rsidRDefault="005F009B" w:rsidP="005F009B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14:paraId="3AB405BC" w14:textId="2E7B73BF" w:rsidR="005F009B" w:rsidRPr="00861B5E" w:rsidRDefault="005F009B" w:rsidP="005F0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617E90">
              <w:rPr>
                <w:b/>
                <w:bCs/>
              </w:rPr>
              <w:t>(ITTECF reference in numerics e.g. 1.1)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B770D8" w14:textId="77777777" w:rsidR="005F009B" w:rsidRPr="009B6F70" w:rsidRDefault="005F009B" w:rsidP="005F009B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14:paraId="609EBC0F" w14:textId="0B70B656" w:rsidR="005F009B" w:rsidRPr="00861B5E" w:rsidRDefault="005F009B" w:rsidP="005F0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617E90">
              <w:rPr>
                <w:b/>
                <w:bCs/>
              </w:rPr>
              <w:t>(ITTECF reference bullets alphabetically e.g. 1c)</w:t>
            </w:r>
          </w:p>
        </w:tc>
        <w:tc>
          <w:tcPr>
            <w:tcW w:w="3311" w:type="dxa"/>
            <w:shd w:val="clear" w:color="auto" w:fill="C5E0B3" w:themeFill="accent6" w:themeFillTint="66"/>
          </w:tcPr>
          <w:p w14:paraId="274CBE69" w14:textId="4929B8AE" w:rsidR="005F009B" w:rsidRPr="00861B5E" w:rsidRDefault="005F009B" w:rsidP="005F0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Links to Research and Reading</w:t>
            </w:r>
          </w:p>
        </w:tc>
        <w:tc>
          <w:tcPr>
            <w:tcW w:w="2420" w:type="dxa"/>
            <w:shd w:val="clear" w:color="auto" w:fill="C5E0B3" w:themeFill="accent6" w:themeFillTint="66"/>
          </w:tcPr>
          <w:p w14:paraId="46319610" w14:textId="2B98983E" w:rsidR="005F009B" w:rsidRPr="00861B5E" w:rsidRDefault="005F009B" w:rsidP="005F0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Formative Assessment mode</w:t>
            </w:r>
          </w:p>
        </w:tc>
      </w:tr>
      <w:bookmarkEnd w:id="0"/>
      <w:bookmarkEnd w:id="1"/>
      <w:tr w:rsidR="005F009B" w:rsidRPr="00861B5E" w14:paraId="27DE8396" w14:textId="77777777" w:rsidTr="00163A8B">
        <w:trPr>
          <w:trHeight w:val="231"/>
        </w:trPr>
        <w:tc>
          <w:tcPr>
            <w:tcW w:w="1413" w:type="dxa"/>
          </w:tcPr>
          <w:p w14:paraId="56CE84C5" w14:textId="750B58F8" w:rsidR="005F009B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In-person </w:t>
            </w:r>
            <w:r w:rsidR="00163A8B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campus</w:t>
            </w:r>
          </w:p>
          <w:p w14:paraId="386C9700" w14:textId="77777777" w:rsidR="00163A8B" w:rsidRDefault="00163A8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AA1826" w14:textId="2BC16724" w:rsidR="00163A8B" w:rsidRPr="00861B5E" w:rsidRDefault="00163A8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 introduction to primary languages</w:t>
            </w:r>
          </w:p>
          <w:p w14:paraId="29ADB870" w14:textId="77777777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727C2C" w14:textId="78107AE3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1906CE91" w14:textId="77777777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3A645F" w14:textId="28B4A78F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F4DD10" w14:textId="77777777" w:rsidR="00163A8B" w:rsidRPr="00163A8B" w:rsidRDefault="00163A8B" w:rsidP="00163A8B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63A8B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</w:rPr>
              <w:t>To understand the rationale for including teaching languages in the early years of primary school </w:t>
            </w:r>
            <w:r w:rsidRPr="00163A8B">
              <w:rPr>
                <w:rStyle w:val="eop"/>
                <w:rFonts w:asciiTheme="minorHAnsi" w:hAnsiTheme="minorHAnsi" w:cstheme="minorHAnsi"/>
                <w:color w:val="3F3F3F"/>
                <w:sz w:val="22"/>
                <w:szCs w:val="22"/>
              </w:rPr>
              <w:t> </w:t>
            </w:r>
          </w:p>
          <w:p w14:paraId="6E547640" w14:textId="77777777" w:rsidR="00163A8B" w:rsidRPr="00163A8B" w:rsidRDefault="00163A8B" w:rsidP="00163A8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3A8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9496678" w14:textId="77777777" w:rsidR="00163A8B" w:rsidRPr="00163A8B" w:rsidRDefault="00163A8B" w:rsidP="00163A8B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3A8B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</w:rPr>
              <w:t>To understand the 12 aims of the NC for languages (2014) and consider some challenges and implications for your practice</w:t>
            </w:r>
            <w:r w:rsidRPr="00163A8B">
              <w:rPr>
                <w:rStyle w:val="eop"/>
                <w:rFonts w:asciiTheme="minorHAnsi" w:hAnsiTheme="minorHAnsi" w:cstheme="minorHAnsi"/>
                <w:color w:val="3F3F3F"/>
                <w:sz w:val="22"/>
                <w:szCs w:val="22"/>
              </w:rPr>
              <w:t> </w:t>
            </w:r>
          </w:p>
          <w:p w14:paraId="4AC48EB1" w14:textId="4AA2E308" w:rsidR="00163A8B" w:rsidRPr="00163A8B" w:rsidRDefault="00163A8B" w:rsidP="00163A8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3A8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14:paraId="71A2E833" w14:textId="77777777" w:rsidR="00163A8B" w:rsidRPr="00163A8B" w:rsidRDefault="00163A8B" w:rsidP="00163A8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63A8B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</w:rPr>
              <w:t>To be able to break down composite knowledge from NC aims into component knowledge</w:t>
            </w:r>
          </w:p>
          <w:p w14:paraId="1833737B" w14:textId="77777777" w:rsidR="00163A8B" w:rsidRPr="00163A8B" w:rsidRDefault="00163A8B" w:rsidP="00163A8B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08E1E498" w14:textId="77777777" w:rsidR="00163A8B" w:rsidRPr="00163A8B" w:rsidRDefault="00163A8B" w:rsidP="00163A8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63A8B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 xml:space="preserve">To understand how to self-assess your confidence and substantive knowledge of </w:t>
            </w:r>
            <w:r w:rsidRPr="00163A8B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lastRenderedPageBreak/>
              <w:t>primary languages and set effective, SMART targets for your subject knowledge development</w:t>
            </w:r>
          </w:p>
          <w:p w14:paraId="5D0B4374" w14:textId="77777777" w:rsidR="00163A8B" w:rsidRPr="00163A8B" w:rsidRDefault="00163A8B" w:rsidP="00163A8B">
            <w:pPr>
              <w:pStyle w:val="ListParagraph"/>
              <w:rPr>
                <w:rFonts w:cstheme="minorHAnsi"/>
              </w:rPr>
            </w:pPr>
          </w:p>
          <w:p w14:paraId="767A5505" w14:textId="7A50AD3F" w:rsidR="005F009B" w:rsidRPr="00163A8B" w:rsidRDefault="00163A8B" w:rsidP="00163A8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3A8B">
              <w:rPr>
                <w:rFonts w:asciiTheme="minorHAnsi" w:hAnsiTheme="minorHAnsi" w:cstheme="minorHAnsi"/>
                <w:sz w:val="22"/>
                <w:szCs w:val="22"/>
              </w:rPr>
              <w:t>To know how to use a scheme like Language Angels to support your teaching and learning</w:t>
            </w:r>
          </w:p>
        </w:tc>
        <w:tc>
          <w:tcPr>
            <w:tcW w:w="1275" w:type="dxa"/>
          </w:tcPr>
          <w:p w14:paraId="426C0EF3" w14:textId="77777777" w:rsidR="00A66D02" w:rsidRPr="0096600E" w:rsidRDefault="00A66D02" w:rsidP="00A66D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6600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1.1, 1.2, 1.6, 1.7</w:t>
            </w:r>
          </w:p>
          <w:p w14:paraId="46864E34" w14:textId="77777777" w:rsidR="00A66D02" w:rsidRPr="0096600E" w:rsidRDefault="00A66D02" w:rsidP="00A66D0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6600E">
              <w:rPr>
                <w:rFonts w:ascii="Calibri" w:eastAsia="Calibri" w:hAnsi="Calibri" w:cs="Calibri"/>
                <w:sz w:val="24"/>
                <w:szCs w:val="24"/>
              </w:rPr>
              <w:t>3.1, 3.2</w:t>
            </w:r>
          </w:p>
          <w:p w14:paraId="4E1C9B79" w14:textId="2972F723" w:rsidR="005F009B" w:rsidRPr="00861B5E" w:rsidRDefault="00A66D02" w:rsidP="00A66D02">
            <w:pPr>
              <w:rPr>
                <w:rFonts w:ascii="Arial" w:hAnsi="Arial" w:cs="Arial"/>
                <w:sz w:val="20"/>
                <w:szCs w:val="20"/>
              </w:rPr>
            </w:pPr>
            <w:r w:rsidRPr="0096600E">
              <w:rPr>
                <w:rFonts w:ascii="Calibri" w:eastAsia="Calibri" w:hAnsi="Calibri" w:cs="Calibri"/>
                <w:sz w:val="24"/>
                <w:szCs w:val="24"/>
              </w:rPr>
              <w:t>8.1, 8.2</w:t>
            </w:r>
          </w:p>
        </w:tc>
        <w:tc>
          <w:tcPr>
            <w:tcW w:w="1418" w:type="dxa"/>
          </w:tcPr>
          <w:p w14:paraId="7EA93A33" w14:textId="3562EEC7" w:rsidR="005F009B" w:rsidRPr="00861B5E" w:rsidRDefault="0009167E" w:rsidP="005F009B">
            <w:pPr>
              <w:rPr>
                <w:rFonts w:ascii="Arial" w:hAnsi="Arial" w:cs="Arial"/>
                <w:sz w:val="20"/>
                <w:szCs w:val="20"/>
              </w:rPr>
            </w:pPr>
            <w:r w:rsidRPr="0096600E">
              <w:rPr>
                <w:rFonts w:ascii="Calibri" w:eastAsia="Calibri" w:hAnsi="Calibri" w:cs="Calibri"/>
                <w:sz w:val="24"/>
                <w:szCs w:val="24"/>
              </w:rPr>
              <w:t>3f</w:t>
            </w:r>
          </w:p>
        </w:tc>
        <w:tc>
          <w:tcPr>
            <w:tcW w:w="3311" w:type="dxa"/>
            <w:vMerge w:val="restart"/>
          </w:tcPr>
          <w:p w14:paraId="476699F0" w14:textId="77777777" w:rsidR="005F009B" w:rsidRPr="00163A8B" w:rsidRDefault="005F009B" w:rsidP="005F009B">
            <w:pPr>
              <w:rPr>
                <w:rFonts w:cstheme="minorHAnsi"/>
              </w:rPr>
            </w:pPr>
            <w:r w:rsidRPr="00163A8B">
              <w:rPr>
                <w:rFonts w:cstheme="minorHAnsi"/>
              </w:rPr>
              <w:t>DfE (2013) National Curriculum</w:t>
            </w:r>
          </w:p>
          <w:p w14:paraId="2DDA88AB" w14:textId="77777777" w:rsidR="005F009B" w:rsidRPr="00163A8B" w:rsidRDefault="005F009B" w:rsidP="005F009B">
            <w:pPr>
              <w:rPr>
                <w:rFonts w:eastAsia="Arial" w:cstheme="minorHAnsi"/>
              </w:rPr>
            </w:pPr>
          </w:p>
          <w:p w14:paraId="6629B789" w14:textId="55E9AB81" w:rsidR="005F009B" w:rsidRPr="00163A8B" w:rsidRDefault="005F009B" w:rsidP="005F009B">
            <w:pPr>
              <w:rPr>
                <w:rFonts w:eastAsia="Arial" w:cstheme="minorHAnsi"/>
              </w:rPr>
            </w:pPr>
            <w:r w:rsidRPr="00163A8B">
              <w:rPr>
                <w:rFonts w:eastAsia="Arial" w:cstheme="minorHAnsi"/>
              </w:rPr>
              <w:t xml:space="preserve">OFSTED Research Review </w:t>
            </w:r>
            <w:r w:rsidR="00DF5DC2" w:rsidRPr="00163A8B">
              <w:rPr>
                <w:rFonts w:eastAsia="Arial" w:cstheme="minorHAnsi"/>
              </w:rPr>
              <w:t>Languages</w:t>
            </w:r>
            <w:r w:rsidRPr="00163A8B">
              <w:rPr>
                <w:rFonts w:eastAsia="Arial" w:cstheme="minorHAnsi"/>
              </w:rPr>
              <w:t xml:space="preserve"> (202</w:t>
            </w:r>
            <w:r w:rsidR="00D17ECB">
              <w:rPr>
                <w:rFonts w:eastAsia="Arial" w:cstheme="minorHAnsi"/>
              </w:rPr>
              <w:t>1</w:t>
            </w:r>
            <w:r w:rsidRPr="00163A8B">
              <w:rPr>
                <w:rFonts w:eastAsia="Arial" w:cstheme="minorHAnsi"/>
              </w:rPr>
              <w:t>).</w:t>
            </w:r>
          </w:p>
          <w:p w14:paraId="6972F050" w14:textId="77777777" w:rsidR="005F009B" w:rsidRPr="00163A8B" w:rsidRDefault="005F009B" w:rsidP="005F009B">
            <w:pPr>
              <w:rPr>
                <w:rFonts w:eastAsia="Arial" w:cstheme="minorHAnsi"/>
              </w:rPr>
            </w:pPr>
          </w:p>
          <w:p w14:paraId="0731BC05" w14:textId="77777777" w:rsidR="005F009B" w:rsidRPr="00163A8B" w:rsidRDefault="005F009B" w:rsidP="005F009B">
            <w:pPr>
              <w:rPr>
                <w:rFonts w:eastAsia="Arial" w:cstheme="minorHAnsi"/>
              </w:rPr>
            </w:pPr>
          </w:p>
          <w:p w14:paraId="3A855822" w14:textId="15E88B00" w:rsidR="005F009B" w:rsidRPr="00163A8B" w:rsidRDefault="005F009B" w:rsidP="00DF5DC2">
            <w:pPr>
              <w:rPr>
                <w:rFonts w:cstheme="minorHAnsi"/>
              </w:rPr>
            </w:pPr>
          </w:p>
        </w:tc>
        <w:tc>
          <w:tcPr>
            <w:tcW w:w="2420" w:type="dxa"/>
            <w:vMerge w:val="restart"/>
          </w:tcPr>
          <w:p w14:paraId="10BAC3DC" w14:textId="1D217B62" w:rsidR="005F009B" w:rsidRPr="00163A8B" w:rsidRDefault="00DF5DC2" w:rsidP="005F009B">
            <w:pPr>
              <w:rPr>
                <w:rFonts w:cstheme="minorHAnsi"/>
              </w:rPr>
            </w:pPr>
            <w:r w:rsidRPr="00163A8B">
              <w:rPr>
                <w:rFonts w:cstheme="minorHAnsi"/>
              </w:rPr>
              <w:t>Self-assess SK via audit</w:t>
            </w:r>
          </w:p>
          <w:p w14:paraId="464FF677" w14:textId="77777777" w:rsidR="005F009B" w:rsidRPr="00163A8B" w:rsidRDefault="005F009B" w:rsidP="005F009B">
            <w:pPr>
              <w:rPr>
                <w:rFonts w:cstheme="minorHAnsi"/>
              </w:rPr>
            </w:pPr>
          </w:p>
          <w:p w14:paraId="7C64CE27" w14:textId="67F893EE" w:rsidR="005F009B" w:rsidRPr="00163A8B" w:rsidRDefault="005F009B" w:rsidP="005F009B">
            <w:pPr>
              <w:rPr>
                <w:rFonts w:cstheme="minorHAnsi"/>
              </w:rPr>
            </w:pPr>
            <w:r w:rsidRPr="00163A8B">
              <w:rPr>
                <w:rFonts w:cstheme="minorHAnsi"/>
              </w:rPr>
              <w:t>Participate in group/ class discussions, practical activities and Q&amp;A  </w:t>
            </w:r>
          </w:p>
          <w:p w14:paraId="4245AFCB" w14:textId="59A9C38A" w:rsidR="005F009B" w:rsidRPr="00163A8B" w:rsidRDefault="005F009B" w:rsidP="005F009B">
            <w:pPr>
              <w:rPr>
                <w:rFonts w:cstheme="minorHAnsi"/>
              </w:rPr>
            </w:pPr>
          </w:p>
          <w:p w14:paraId="2892EEC3" w14:textId="5FAF6708" w:rsidR="005F009B" w:rsidRPr="00163A8B" w:rsidRDefault="005F009B" w:rsidP="005F009B">
            <w:pPr>
              <w:rPr>
                <w:rFonts w:cstheme="minorHAnsi"/>
              </w:rPr>
            </w:pPr>
          </w:p>
        </w:tc>
      </w:tr>
      <w:tr w:rsidR="00FA6577" w:rsidRPr="00861B5E" w14:paraId="79A0D50C" w14:textId="77777777" w:rsidTr="00163A8B">
        <w:trPr>
          <w:trHeight w:val="231"/>
        </w:trPr>
        <w:tc>
          <w:tcPr>
            <w:tcW w:w="1413" w:type="dxa"/>
          </w:tcPr>
          <w:p w14:paraId="4AD9FE97" w14:textId="3A4E32FF" w:rsidR="00FA6577" w:rsidRDefault="00FA6577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Follow on Task 1</w:t>
            </w:r>
          </w:p>
        </w:tc>
        <w:tc>
          <w:tcPr>
            <w:tcW w:w="4111" w:type="dxa"/>
          </w:tcPr>
          <w:p w14:paraId="2D478985" w14:textId="77777777" w:rsidR="00163A8B" w:rsidRPr="00163A8B" w:rsidRDefault="00163A8B" w:rsidP="00163A8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63A8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To be able to </w:t>
            </w:r>
            <w:r w:rsidRPr="00163A8B">
              <w:rPr>
                <w:rStyle w:val="normaltextrun"/>
                <w:rFonts w:asciiTheme="minorHAnsi" w:hAnsiTheme="minorHAnsi" w:cstheme="minorHAnsi"/>
                <w:color w:val="3F3F3F"/>
                <w:sz w:val="22"/>
                <w:szCs w:val="22"/>
                <w:shd w:val="clear" w:color="auto" w:fill="FFFFFF"/>
              </w:rPr>
              <w:t>self-assess your confidence and substantive knowledge of primary languages and set effective, SMART targets for your subject knowledge development</w:t>
            </w:r>
          </w:p>
          <w:p w14:paraId="2808B6E1" w14:textId="2C737AE0" w:rsidR="00FA6577" w:rsidRPr="00163A8B" w:rsidRDefault="00FA6577" w:rsidP="00163A8B">
            <w:pPr>
              <w:pStyle w:val="ListParagraph"/>
              <w:ind w:left="206"/>
              <w:rPr>
                <w:rFonts w:eastAsia="Arial" w:cstheme="minorHAnsi"/>
              </w:rPr>
            </w:pPr>
          </w:p>
        </w:tc>
        <w:tc>
          <w:tcPr>
            <w:tcW w:w="1275" w:type="dxa"/>
          </w:tcPr>
          <w:p w14:paraId="715CAF46" w14:textId="77777777" w:rsidR="00FA6577" w:rsidRDefault="00FA6577" w:rsidP="005F009B"/>
        </w:tc>
        <w:tc>
          <w:tcPr>
            <w:tcW w:w="1418" w:type="dxa"/>
          </w:tcPr>
          <w:p w14:paraId="0BBD12F5" w14:textId="77777777" w:rsidR="00FA6577" w:rsidRDefault="00FA6577" w:rsidP="005F009B"/>
        </w:tc>
        <w:tc>
          <w:tcPr>
            <w:tcW w:w="3311" w:type="dxa"/>
            <w:vMerge/>
          </w:tcPr>
          <w:p w14:paraId="6F8D0483" w14:textId="77777777" w:rsidR="00FA6577" w:rsidRPr="00861B5E" w:rsidRDefault="00FA6577" w:rsidP="005F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14:paraId="0FF308AF" w14:textId="77777777" w:rsidR="00FA6577" w:rsidRDefault="00FA6577" w:rsidP="005F0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15AAB" w14:textId="77777777" w:rsidR="001E2E3B" w:rsidRPr="00861B5E" w:rsidRDefault="001E2E3B" w:rsidP="004132F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239"/>
        <w:gridCol w:w="1633"/>
        <w:gridCol w:w="2133"/>
        <w:gridCol w:w="3047"/>
        <w:gridCol w:w="2896"/>
      </w:tblGrid>
      <w:tr w:rsidR="00A619D2" w:rsidRPr="00861B5E" w14:paraId="18E967BF" w14:textId="77777777" w:rsidTr="001E2E3B">
        <w:trPr>
          <w:trHeight w:val="464"/>
        </w:trPr>
        <w:tc>
          <w:tcPr>
            <w:tcW w:w="0" w:type="auto"/>
            <w:gridSpan w:val="5"/>
            <w:shd w:val="clear" w:color="auto" w:fill="E2EFD9" w:themeFill="accent6" w:themeFillTint="33"/>
          </w:tcPr>
          <w:p w14:paraId="32A256D1" w14:textId="3420D45F" w:rsidR="00A619D2" w:rsidRPr="00861B5E" w:rsidRDefault="00A619D2" w:rsidP="003B3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35137439"/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Based Curriculum – </w:t>
            </w:r>
            <w:r w:rsidR="00623BD8">
              <w:rPr>
                <w:rFonts w:ascii="Arial" w:hAnsi="Arial" w:cs="Arial"/>
                <w:b/>
                <w:bCs/>
                <w:sz w:val="20"/>
                <w:szCs w:val="20"/>
              </w:rPr>
              <w:t>Level 4</w:t>
            </w:r>
          </w:p>
        </w:tc>
      </w:tr>
      <w:tr w:rsidR="00A619D2" w:rsidRPr="00861B5E" w14:paraId="3B8350F8" w14:textId="77777777" w:rsidTr="001E2E3B">
        <w:trPr>
          <w:trHeight w:val="464"/>
        </w:trPr>
        <w:tc>
          <w:tcPr>
            <w:tcW w:w="0" w:type="auto"/>
            <w:gridSpan w:val="5"/>
            <w:shd w:val="clear" w:color="auto" w:fill="auto"/>
          </w:tcPr>
          <w:p w14:paraId="10F75593" w14:textId="77777777" w:rsidR="00DD3680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Observing: </w:t>
            </w:r>
          </w:p>
          <w:p w14:paraId="4B0A8CD3" w14:textId="21527276" w:rsidR="00A619D2" w:rsidRPr="00861B5E" w:rsidRDefault="00A619D2" w:rsidP="009962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 xml:space="preserve">Observe how expert colleagues </w:t>
            </w:r>
            <w:r w:rsidR="00163A8B">
              <w:rPr>
                <w:rFonts w:ascii="Arial" w:hAnsi="Arial" w:cs="Arial"/>
                <w:sz w:val="20"/>
                <w:szCs w:val="20"/>
              </w:rPr>
              <w:t xml:space="preserve">plan and teach </w:t>
            </w:r>
            <w:r w:rsidR="00DF5DC2">
              <w:rPr>
                <w:rFonts w:ascii="Arial" w:hAnsi="Arial" w:cs="Arial"/>
                <w:sz w:val="20"/>
                <w:szCs w:val="20"/>
              </w:rPr>
              <w:t>Languages</w:t>
            </w:r>
            <w:r w:rsidR="00DD6AB7" w:rsidRPr="00861B5E">
              <w:rPr>
                <w:rFonts w:ascii="Arial" w:hAnsi="Arial" w:cs="Arial"/>
                <w:sz w:val="20"/>
                <w:szCs w:val="20"/>
              </w:rPr>
              <w:t xml:space="preserve">, in </w:t>
            </w:r>
            <w:r w:rsidRPr="00861B5E">
              <w:rPr>
                <w:rFonts w:ascii="Arial" w:hAnsi="Arial" w:cs="Arial"/>
                <w:sz w:val="20"/>
                <w:szCs w:val="20"/>
              </w:rPr>
              <w:t>at least one lesson throughout school.</w:t>
            </w:r>
          </w:p>
          <w:p w14:paraId="42E2F09C" w14:textId="77777777" w:rsidR="00BB75F6" w:rsidRPr="00861B5E" w:rsidRDefault="00BB75F6" w:rsidP="00A619D2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6E7868F" w14:textId="77777777" w:rsidR="00DD3680" w:rsidRPr="00861B5E" w:rsidRDefault="00A619D2" w:rsidP="00A619D2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  <w:r w:rsidRPr="00861B5E">
              <w:rPr>
                <w:rFonts w:cs="Arial"/>
                <w:b/>
                <w:bCs/>
                <w:sz w:val="20"/>
                <w:szCs w:val="20"/>
              </w:rPr>
              <w:t xml:space="preserve">Planning: </w:t>
            </w:r>
          </w:p>
          <w:p w14:paraId="6EC94940" w14:textId="7F80EC9C" w:rsidR="00A619D2" w:rsidRPr="00861B5E" w:rsidRDefault="00A619D2" w:rsidP="00A619D2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  <w:r w:rsidRPr="00861B5E">
              <w:rPr>
                <w:rFonts w:cs="Arial"/>
                <w:sz w:val="20"/>
                <w:szCs w:val="20"/>
              </w:rPr>
              <w:t xml:space="preserve">Observe how expert colleagues </w:t>
            </w:r>
            <w:r w:rsidR="00163A8B">
              <w:rPr>
                <w:rFonts w:cs="Arial"/>
                <w:sz w:val="20"/>
                <w:szCs w:val="20"/>
              </w:rPr>
              <w:t>consider Vocabulary, Phonics and Grammar in their teaching</w:t>
            </w:r>
            <w:r w:rsidRPr="00861B5E">
              <w:rPr>
                <w:rFonts w:cs="Arial"/>
                <w:sz w:val="20"/>
                <w:szCs w:val="20"/>
              </w:rPr>
              <w:t xml:space="preserve"> </w:t>
            </w:r>
            <w:r w:rsidR="00163A8B">
              <w:rPr>
                <w:rFonts w:cs="Arial"/>
                <w:sz w:val="20"/>
                <w:szCs w:val="20"/>
              </w:rPr>
              <w:t xml:space="preserve">of </w:t>
            </w:r>
            <w:r w:rsidR="00BD2880">
              <w:rPr>
                <w:rFonts w:cs="Arial"/>
                <w:sz w:val="20"/>
                <w:szCs w:val="20"/>
              </w:rPr>
              <w:t>L</w:t>
            </w:r>
            <w:r w:rsidR="00DF5DC2">
              <w:rPr>
                <w:rFonts w:cs="Arial"/>
                <w:sz w:val="20"/>
                <w:szCs w:val="20"/>
              </w:rPr>
              <w:t xml:space="preserve">istening, </w:t>
            </w:r>
            <w:r w:rsidR="00BD2880">
              <w:rPr>
                <w:rFonts w:cs="Arial"/>
                <w:sz w:val="20"/>
                <w:szCs w:val="20"/>
              </w:rPr>
              <w:t>S</w:t>
            </w:r>
            <w:r w:rsidR="00DF5DC2">
              <w:rPr>
                <w:rFonts w:cs="Arial"/>
                <w:sz w:val="20"/>
                <w:szCs w:val="20"/>
              </w:rPr>
              <w:t xml:space="preserve">peaking, </w:t>
            </w:r>
            <w:r w:rsidR="00BD2880">
              <w:rPr>
                <w:rFonts w:cs="Arial"/>
                <w:sz w:val="20"/>
                <w:szCs w:val="20"/>
              </w:rPr>
              <w:t>R</w:t>
            </w:r>
            <w:r w:rsidR="00DF5DC2">
              <w:rPr>
                <w:rFonts w:cs="Arial"/>
                <w:sz w:val="20"/>
                <w:szCs w:val="20"/>
              </w:rPr>
              <w:t xml:space="preserve">eading and </w:t>
            </w:r>
            <w:r w:rsidR="00BD2880">
              <w:rPr>
                <w:rFonts w:cs="Arial"/>
                <w:sz w:val="20"/>
                <w:szCs w:val="20"/>
              </w:rPr>
              <w:t>W</w:t>
            </w:r>
            <w:r w:rsidR="00DF5DC2">
              <w:rPr>
                <w:rFonts w:cs="Arial"/>
                <w:sz w:val="20"/>
                <w:szCs w:val="20"/>
              </w:rPr>
              <w:t>riting</w:t>
            </w:r>
            <w:r w:rsidRPr="00861B5E">
              <w:rPr>
                <w:rFonts w:cs="Arial"/>
                <w:sz w:val="20"/>
                <w:szCs w:val="20"/>
              </w:rPr>
              <w:t xml:space="preserve"> </w:t>
            </w:r>
            <w:r w:rsidR="00163A8B">
              <w:rPr>
                <w:rFonts w:cs="Arial"/>
                <w:sz w:val="20"/>
                <w:szCs w:val="20"/>
              </w:rPr>
              <w:t xml:space="preserve">and break these </w:t>
            </w:r>
            <w:r w:rsidRPr="00861B5E">
              <w:rPr>
                <w:rFonts w:cs="Arial"/>
                <w:sz w:val="20"/>
                <w:szCs w:val="20"/>
              </w:rPr>
              <w:t>down into constituent components</w:t>
            </w:r>
            <w:r w:rsidR="00DF5DC2">
              <w:rPr>
                <w:rFonts w:cs="Arial"/>
                <w:sz w:val="20"/>
                <w:szCs w:val="20"/>
              </w:rPr>
              <w:t xml:space="preserve"> </w:t>
            </w:r>
            <w:r w:rsidRPr="00861B5E">
              <w:rPr>
                <w:rFonts w:cs="Arial"/>
                <w:sz w:val="20"/>
                <w:szCs w:val="20"/>
              </w:rPr>
              <w:t xml:space="preserve">in </w:t>
            </w:r>
            <w:r w:rsidR="00DF5DC2">
              <w:rPr>
                <w:rFonts w:cs="Arial"/>
                <w:sz w:val="20"/>
                <w:szCs w:val="20"/>
              </w:rPr>
              <w:t>languages</w:t>
            </w:r>
            <w:r w:rsidR="00DD6AB7" w:rsidRPr="00861B5E">
              <w:rPr>
                <w:rFonts w:cs="Arial"/>
                <w:sz w:val="20"/>
                <w:szCs w:val="20"/>
              </w:rPr>
              <w:t>,</w:t>
            </w:r>
            <w:r w:rsidRPr="00861B5E">
              <w:rPr>
                <w:rFonts w:cs="Arial"/>
                <w:sz w:val="20"/>
                <w:szCs w:val="20"/>
              </w:rPr>
              <w:t xml:space="preserve"> for </w:t>
            </w:r>
            <w:r w:rsidR="00DD6AB7" w:rsidRPr="00861B5E">
              <w:rPr>
                <w:rFonts w:cs="Arial"/>
                <w:sz w:val="20"/>
                <w:szCs w:val="20"/>
              </w:rPr>
              <w:t xml:space="preserve">at least </w:t>
            </w:r>
            <w:r w:rsidRPr="00861B5E">
              <w:rPr>
                <w:rFonts w:cs="Arial"/>
                <w:sz w:val="20"/>
                <w:szCs w:val="20"/>
              </w:rPr>
              <w:t>one lesson</w:t>
            </w:r>
            <w:r w:rsidR="00DD6AB7" w:rsidRPr="00861B5E">
              <w:rPr>
                <w:rFonts w:cs="Arial"/>
                <w:sz w:val="20"/>
                <w:szCs w:val="20"/>
              </w:rPr>
              <w:t>.</w:t>
            </w:r>
          </w:p>
          <w:p w14:paraId="3B0C0AD8" w14:textId="061DE00B" w:rsidR="00A619D2" w:rsidRPr="00861B5E" w:rsidRDefault="00A619D2" w:rsidP="00A619D2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57904B0D" w14:textId="77777777" w:rsidR="00DD3680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Teaching: </w:t>
            </w:r>
          </w:p>
          <w:p w14:paraId="674153A5" w14:textId="3CB8552A" w:rsidR="00A619D2" w:rsidRDefault="00A82E8D" w:rsidP="00A619D2">
            <w:pPr>
              <w:rPr>
                <w:rFonts w:ascii="Arial" w:hAnsi="Arial" w:cs="Arial"/>
                <w:sz w:val="20"/>
                <w:szCs w:val="20"/>
              </w:rPr>
            </w:pPr>
            <w:r w:rsidRPr="00A82E8D">
              <w:rPr>
                <w:rFonts w:ascii="Arial" w:hAnsi="Arial" w:cs="Arial"/>
                <w:sz w:val="20"/>
                <w:szCs w:val="20"/>
              </w:rPr>
              <w:t>Teach a</w:t>
            </w:r>
            <w:r w:rsidR="00DF5DC2">
              <w:rPr>
                <w:rFonts w:ascii="Arial" w:hAnsi="Arial" w:cs="Arial"/>
                <w:sz w:val="20"/>
                <w:szCs w:val="20"/>
              </w:rPr>
              <w:t xml:space="preserve"> part or whole lesson to a group or whole </w:t>
            </w:r>
            <w:r w:rsidRPr="00A82E8D">
              <w:rPr>
                <w:rFonts w:ascii="Arial" w:hAnsi="Arial" w:cs="Arial"/>
                <w:sz w:val="20"/>
                <w:szCs w:val="20"/>
              </w:rPr>
              <w:t>class</w:t>
            </w:r>
            <w:r w:rsidR="007F7A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396A58" w14:textId="77777777" w:rsidR="00A82E8D" w:rsidRPr="00861B5E" w:rsidRDefault="00A82E8D" w:rsidP="00A619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BFB49" w14:textId="77777777" w:rsidR="00DD3680" w:rsidRPr="00861B5E" w:rsidRDefault="0044543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  <w:r w:rsidR="00A619D2"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478481B0" w14:textId="23D4A80E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>Check prior knowledge and understanding during</w:t>
            </w:r>
            <w:r w:rsidR="009962F2" w:rsidRPr="00861B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DC2">
              <w:rPr>
                <w:rFonts w:ascii="Arial" w:hAnsi="Arial" w:cs="Arial"/>
                <w:sz w:val="20"/>
                <w:szCs w:val="20"/>
              </w:rPr>
              <w:t>language</w:t>
            </w:r>
            <w:r w:rsidRPr="00861B5E">
              <w:rPr>
                <w:rFonts w:ascii="Arial" w:hAnsi="Arial" w:cs="Arial"/>
                <w:sz w:val="20"/>
                <w:szCs w:val="20"/>
              </w:rPr>
              <w:t xml:space="preserve"> lessons.</w:t>
            </w:r>
          </w:p>
          <w:p w14:paraId="0C122F09" w14:textId="77777777" w:rsidR="00BB75F6" w:rsidRPr="00861B5E" w:rsidRDefault="00BB75F6" w:rsidP="00A619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D749F" w14:textId="77777777" w:rsidR="00DD3680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Knowledge: </w:t>
            </w:r>
          </w:p>
          <w:p w14:paraId="41701162" w14:textId="00F3F6BE" w:rsidR="00A619D2" w:rsidRPr="00861B5E" w:rsidRDefault="00A619D2" w:rsidP="00A619D2">
            <w:pPr>
              <w:rPr>
                <w:rFonts w:ascii="Arial" w:hAnsi="Arial" w:cs="Arial"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>Discuss and analyse subject specific components with expert colleagues</w:t>
            </w:r>
          </w:p>
          <w:p w14:paraId="50BE9C69" w14:textId="77777777" w:rsidR="00A619D2" w:rsidRPr="00861B5E" w:rsidRDefault="00A619D2" w:rsidP="00996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A1C" w:rsidRPr="00861B5E" w14:paraId="2799F10B" w14:textId="77777777" w:rsidTr="002268CC">
        <w:trPr>
          <w:trHeight w:val="464"/>
        </w:trPr>
        <w:tc>
          <w:tcPr>
            <w:tcW w:w="0" w:type="auto"/>
            <w:shd w:val="clear" w:color="auto" w:fill="E2EFD9" w:themeFill="accent6" w:themeFillTint="33"/>
          </w:tcPr>
          <w:p w14:paraId="75A50D3B" w14:textId="4A15AFFB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35140715"/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Subject Specific Components/s (know, understand, can 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Learn That</w:t>
            </w:r>
          </w:p>
          <w:p w14:paraId="57F99834" w14:textId="20E3F418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E4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ITTECF </w:t>
            </w: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reference in numerics e.g. 1.1)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Learn How</w:t>
            </w:r>
          </w:p>
          <w:p w14:paraId="1D50E1D4" w14:textId="3A069337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E42180">
              <w:rPr>
                <w:rFonts w:ascii="Arial" w:hAnsi="Arial" w:cs="Arial"/>
                <w:b/>
                <w:bCs/>
                <w:sz w:val="20"/>
                <w:szCs w:val="20"/>
              </w:rPr>
              <w:t>ITTE</w:t>
            </w: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CF reference bullets alphabetically e.g. 1c)</w:t>
            </w:r>
          </w:p>
        </w:tc>
        <w:tc>
          <w:tcPr>
            <w:tcW w:w="3047" w:type="dxa"/>
            <w:shd w:val="clear" w:color="auto" w:fill="E2EFD9" w:themeFill="accent6" w:themeFillTint="33"/>
          </w:tcPr>
          <w:p w14:paraId="42F43AD0" w14:textId="37BC600F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Links to Research and Reading</w:t>
            </w:r>
          </w:p>
        </w:tc>
        <w:tc>
          <w:tcPr>
            <w:tcW w:w="2896" w:type="dxa"/>
            <w:shd w:val="clear" w:color="auto" w:fill="E2EFD9" w:themeFill="accent6" w:themeFillTint="33"/>
          </w:tcPr>
          <w:p w14:paraId="2E810B44" w14:textId="50BDFED5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Formative Assessment</w:t>
            </w:r>
          </w:p>
        </w:tc>
      </w:tr>
      <w:bookmarkEnd w:id="3"/>
      <w:tr w:rsidR="00722A1C" w:rsidRPr="00861B5E" w14:paraId="18716B7C" w14:textId="77777777" w:rsidTr="002268CC">
        <w:trPr>
          <w:trHeight w:val="231"/>
        </w:trPr>
        <w:tc>
          <w:tcPr>
            <w:tcW w:w="0" w:type="auto"/>
          </w:tcPr>
          <w:p w14:paraId="19FB63B2" w14:textId="68FCDD58" w:rsidR="00F80176" w:rsidRPr="007F7A57" w:rsidRDefault="00F80176" w:rsidP="007F7A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D7A59" w14:textId="77A87058" w:rsidR="00722A1C" w:rsidRPr="00722A1C" w:rsidRDefault="00722A1C" w:rsidP="00722A1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2A1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Understand how the school delivers the primary languages’ </w:t>
            </w:r>
            <w:r w:rsidRPr="00722A1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National Curriculum </w:t>
            </w:r>
            <w:r w:rsidRPr="00722A1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statutory requirements</w:t>
            </w:r>
            <w:r w:rsidRPr="00722A1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722A1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A9B80C8" w14:textId="77777777" w:rsidR="00722A1C" w:rsidRPr="00722A1C" w:rsidRDefault="00722A1C" w:rsidP="00722A1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2A1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AA87615" w14:textId="77777777" w:rsidR="00722A1C" w:rsidRPr="00722A1C" w:rsidRDefault="00722A1C" w:rsidP="00722A1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2A1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Can use school’s/ Language Angels’ resources and the National curriculum to ensure good subject knowledge and inform discussions around curriculum, teaching and learning.</w:t>
            </w:r>
            <w:r w:rsidRPr="00722A1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BC70661" w14:textId="77777777" w:rsidR="00722A1C" w:rsidRPr="00722A1C" w:rsidRDefault="00722A1C" w:rsidP="00722A1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2A1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4C8FA6" w14:textId="77777777" w:rsidR="00722A1C" w:rsidRPr="00722A1C" w:rsidRDefault="00722A1C" w:rsidP="00722A1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2A1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Can observe an expert practitioner teach primary languages.</w:t>
            </w:r>
            <w:r w:rsidRPr="00722A1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2FE064" w14:textId="77777777" w:rsidR="00722A1C" w:rsidRPr="00722A1C" w:rsidRDefault="00722A1C" w:rsidP="00722A1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2A1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0C05DBB" w14:textId="13EACC05" w:rsidR="00722A1C" w:rsidRDefault="00722A1C" w:rsidP="00722A1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22A1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Can plan and deliver a language learning episode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2B249A3" w14:textId="77777777" w:rsidR="00722A1C" w:rsidRPr="0052222A" w:rsidRDefault="00722A1C" w:rsidP="00722A1C">
            <w:pPr>
              <w:pStyle w:val="ListParagraph"/>
              <w:ind w:left="177"/>
              <w:rPr>
                <w:rFonts w:cstheme="minorHAnsi"/>
              </w:rPr>
            </w:pPr>
          </w:p>
          <w:p w14:paraId="0D9B0549" w14:textId="47C72E27" w:rsidR="00F80176" w:rsidRPr="00861B5E" w:rsidRDefault="00F80176" w:rsidP="00F80176">
            <w:pPr>
              <w:pStyle w:val="ListParagraph"/>
              <w:ind w:left="17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D8F2DBC" w14:textId="77777777" w:rsidR="00F80176" w:rsidRPr="0052222A" w:rsidRDefault="00F80176" w:rsidP="00F80176">
            <w:pPr>
              <w:rPr>
                <w:rFonts w:cstheme="minorHAnsi"/>
              </w:rPr>
            </w:pPr>
          </w:p>
          <w:p w14:paraId="21889050" w14:textId="77777777" w:rsidR="00722A1C" w:rsidRPr="00490A4C" w:rsidRDefault="00722A1C" w:rsidP="00722A1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90A4C">
              <w:rPr>
                <w:rFonts w:ascii="Calibri" w:eastAsia="Calibri" w:hAnsi="Calibri" w:cs="Calibri"/>
                <w:sz w:val="24"/>
                <w:szCs w:val="24"/>
              </w:rPr>
              <w:t>1.1, 1.2, 1.6, 1.7</w:t>
            </w:r>
          </w:p>
          <w:p w14:paraId="0F15123A" w14:textId="77777777" w:rsidR="00722A1C" w:rsidRPr="00490A4C" w:rsidRDefault="00722A1C" w:rsidP="00722A1C">
            <w:pPr>
              <w:rPr>
                <w:rFonts w:ascii="Calibri" w:hAnsi="Calibri" w:cs="Calibri"/>
                <w:sz w:val="24"/>
                <w:szCs w:val="24"/>
              </w:rPr>
            </w:pPr>
            <w:r w:rsidRPr="00490A4C">
              <w:rPr>
                <w:rFonts w:ascii="Calibri" w:hAnsi="Calibri" w:cs="Calibri"/>
                <w:sz w:val="24"/>
                <w:szCs w:val="24"/>
              </w:rPr>
              <w:t>2.2, 2.3, 2.4, 2.5</w:t>
            </w:r>
          </w:p>
          <w:p w14:paraId="3668E149" w14:textId="77777777" w:rsidR="00722A1C" w:rsidRPr="00490A4C" w:rsidRDefault="00722A1C" w:rsidP="00722A1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90A4C">
              <w:rPr>
                <w:rFonts w:ascii="Calibri" w:eastAsia="Calibri" w:hAnsi="Calibri" w:cs="Calibri"/>
                <w:sz w:val="24"/>
                <w:szCs w:val="24"/>
              </w:rPr>
              <w:t>3.1, 3.2,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3.7,</w:t>
            </w:r>
            <w:r w:rsidRPr="00490A4C">
              <w:rPr>
                <w:rFonts w:ascii="Calibri" w:eastAsia="Calibri" w:hAnsi="Calibri" w:cs="Calibri"/>
                <w:sz w:val="24"/>
                <w:szCs w:val="24"/>
              </w:rPr>
              <w:t xml:space="preserve"> 3.9</w:t>
            </w:r>
          </w:p>
          <w:p w14:paraId="7097796B" w14:textId="77777777" w:rsidR="00722A1C" w:rsidRPr="00490A4C" w:rsidRDefault="00722A1C" w:rsidP="00722A1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90A4C">
              <w:rPr>
                <w:rFonts w:ascii="Calibri" w:eastAsia="Calibri" w:hAnsi="Calibri" w:cs="Calibri"/>
                <w:sz w:val="24"/>
                <w:szCs w:val="24"/>
              </w:rPr>
              <w:t>4.7,</w:t>
            </w:r>
          </w:p>
          <w:p w14:paraId="7E19FE25" w14:textId="77777777" w:rsidR="00722A1C" w:rsidRPr="00490A4C" w:rsidRDefault="00722A1C" w:rsidP="00722A1C">
            <w:pPr>
              <w:rPr>
                <w:rFonts w:ascii="Calibri" w:hAnsi="Calibri" w:cs="Calibri"/>
                <w:sz w:val="24"/>
                <w:szCs w:val="24"/>
              </w:rPr>
            </w:pPr>
            <w:r w:rsidRPr="00490A4C">
              <w:rPr>
                <w:rFonts w:ascii="Calibri" w:hAnsi="Calibri" w:cs="Calibri"/>
                <w:sz w:val="24"/>
                <w:szCs w:val="24"/>
              </w:rPr>
              <w:t>5.1, 5.2, 5.3, 5.4, 5.5</w:t>
            </w:r>
          </w:p>
          <w:p w14:paraId="4637D072" w14:textId="77777777" w:rsidR="00722A1C" w:rsidRPr="00490A4C" w:rsidRDefault="00722A1C" w:rsidP="00722A1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90A4C">
              <w:rPr>
                <w:rFonts w:ascii="Calibri" w:eastAsia="Calibri" w:hAnsi="Calibri" w:cs="Calibri"/>
                <w:sz w:val="24"/>
                <w:szCs w:val="24"/>
              </w:rPr>
              <w:t>8.1, 8.2, 8.5</w:t>
            </w:r>
          </w:p>
          <w:p w14:paraId="70C2025F" w14:textId="2BE8EAE8" w:rsidR="00F80176" w:rsidRPr="0052222A" w:rsidRDefault="00F80176" w:rsidP="00F80176">
            <w:pPr>
              <w:rPr>
                <w:rFonts w:cstheme="minorHAnsi"/>
              </w:rPr>
            </w:pPr>
          </w:p>
          <w:p w14:paraId="5DE1DAFD" w14:textId="77777777" w:rsidR="00F80176" w:rsidRPr="0052222A" w:rsidRDefault="00F80176" w:rsidP="00F80176">
            <w:pPr>
              <w:rPr>
                <w:rFonts w:cstheme="minorHAnsi"/>
              </w:rPr>
            </w:pPr>
          </w:p>
          <w:p w14:paraId="3C9B0C14" w14:textId="77777777" w:rsidR="00F80176" w:rsidRPr="0052222A" w:rsidRDefault="00F80176" w:rsidP="00F80176">
            <w:pPr>
              <w:rPr>
                <w:rFonts w:cstheme="minorHAnsi"/>
              </w:rPr>
            </w:pPr>
          </w:p>
          <w:p w14:paraId="232B31E3" w14:textId="77777777" w:rsidR="00F80176" w:rsidRPr="0052222A" w:rsidRDefault="00F80176" w:rsidP="00F80176">
            <w:pPr>
              <w:rPr>
                <w:rFonts w:cstheme="minorHAnsi"/>
              </w:rPr>
            </w:pPr>
          </w:p>
          <w:p w14:paraId="4B25840B" w14:textId="77777777" w:rsidR="00F80176" w:rsidRPr="0052222A" w:rsidRDefault="00F80176" w:rsidP="00F80176">
            <w:pPr>
              <w:rPr>
                <w:rFonts w:cstheme="minorHAnsi"/>
              </w:rPr>
            </w:pPr>
          </w:p>
          <w:p w14:paraId="794764C5" w14:textId="77777777" w:rsidR="00F80176" w:rsidRPr="0052222A" w:rsidRDefault="00F80176" w:rsidP="00F80176">
            <w:pPr>
              <w:rPr>
                <w:rFonts w:cstheme="minorHAnsi"/>
              </w:rPr>
            </w:pPr>
          </w:p>
          <w:p w14:paraId="0F267812" w14:textId="4FC56648" w:rsidR="00F80176" w:rsidRPr="0052222A" w:rsidRDefault="00F80176" w:rsidP="00F8017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B5A9470" w14:textId="77777777" w:rsidR="00F80176" w:rsidRDefault="00F80176" w:rsidP="00722A1C">
            <w:pPr>
              <w:rPr>
                <w:rFonts w:cstheme="minorHAnsi"/>
              </w:rPr>
            </w:pPr>
          </w:p>
          <w:p w14:paraId="6CFD7715" w14:textId="77777777" w:rsidR="00722A1C" w:rsidRPr="00E40600" w:rsidRDefault="00722A1C" w:rsidP="00722A1C">
            <w:pPr>
              <w:rPr>
                <w:rFonts w:ascii="Calibri" w:hAnsi="Calibri" w:cs="Calibri"/>
                <w:sz w:val="24"/>
                <w:szCs w:val="24"/>
              </w:rPr>
            </w:pPr>
            <w:r w:rsidRPr="00E40600">
              <w:rPr>
                <w:rFonts w:ascii="Calibri" w:hAnsi="Calibri" w:cs="Calibri"/>
                <w:sz w:val="24"/>
                <w:szCs w:val="24"/>
              </w:rPr>
              <w:t>2i,</w:t>
            </w:r>
          </w:p>
          <w:p w14:paraId="52CE5E22" w14:textId="77777777" w:rsidR="00722A1C" w:rsidRPr="00E40600" w:rsidRDefault="00722A1C" w:rsidP="00722A1C">
            <w:pPr>
              <w:rPr>
                <w:rFonts w:ascii="Calibri" w:hAnsi="Calibri" w:cs="Calibri"/>
                <w:sz w:val="24"/>
                <w:szCs w:val="24"/>
              </w:rPr>
            </w:pPr>
            <w:r w:rsidRPr="00E40600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f, 3r, 3</w:t>
            </w:r>
            <w:r w:rsidRPr="00E40600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3t, </w:t>
            </w:r>
          </w:p>
          <w:p w14:paraId="51FE21C8" w14:textId="77777777" w:rsidR="00722A1C" w:rsidRDefault="00722A1C" w:rsidP="00722A1C">
            <w:pPr>
              <w:rPr>
                <w:rFonts w:ascii="Calibri" w:hAnsi="Calibri" w:cs="Calibri"/>
                <w:sz w:val="24"/>
                <w:szCs w:val="24"/>
              </w:rPr>
            </w:pPr>
            <w:r w:rsidRPr="00E40600">
              <w:rPr>
                <w:rFonts w:ascii="Calibri" w:hAnsi="Calibri" w:cs="Calibri"/>
                <w:sz w:val="24"/>
                <w:szCs w:val="24"/>
              </w:rPr>
              <w:t>5j, 5p</w:t>
            </w:r>
          </w:p>
          <w:p w14:paraId="3805DA35" w14:textId="1D62D0EC" w:rsidR="00722A1C" w:rsidRPr="0052222A" w:rsidRDefault="00722A1C" w:rsidP="00722A1C">
            <w:pPr>
              <w:rPr>
                <w:rFonts w:cstheme="minorHAns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8d</w:t>
            </w:r>
          </w:p>
        </w:tc>
        <w:tc>
          <w:tcPr>
            <w:tcW w:w="3047" w:type="dxa"/>
          </w:tcPr>
          <w:p w14:paraId="6350D89A" w14:textId="77777777" w:rsidR="0052222A" w:rsidRPr="0052222A" w:rsidRDefault="0052222A" w:rsidP="0052222A">
            <w:pPr>
              <w:rPr>
                <w:rFonts w:cstheme="minorHAnsi"/>
              </w:rPr>
            </w:pPr>
            <w:r w:rsidRPr="0052222A">
              <w:rPr>
                <w:rFonts w:cstheme="minorHAnsi"/>
              </w:rPr>
              <w:t>DfE (2013) National Curriculum</w:t>
            </w:r>
          </w:p>
          <w:p w14:paraId="2A0E5974" w14:textId="52ADFFAC" w:rsidR="00F80176" w:rsidRDefault="00F80176" w:rsidP="00F801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28AB153" w14:textId="77777777" w:rsidR="0052222A" w:rsidRPr="00861B5E" w:rsidRDefault="0052222A" w:rsidP="00F801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CC929A" w14:textId="68A901F2" w:rsidR="00F80176" w:rsidRPr="0052222A" w:rsidRDefault="00F80176" w:rsidP="00F80176">
            <w:pPr>
              <w:rPr>
                <w:rFonts w:eastAsia="Arial" w:cstheme="minorHAnsi"/>
              </w:rPr>
            </w:pPr>
            <w:r w:rsidRPr="0052222A">
              <w:rPr>
                <w:rFonts w:eastAsia="Arial" w:cstheme="minorHAnsi"/>
              </w:rPr>
              <w:t xml:space="preserve">OFSTED Research Review </w:t>
            </w:r>
            <w:r w:rsidR="007F7A57" w:rsidRPr="0052222A">
              <w:rPr>
                <w:rFonts w:eastAsia="Arial" w:cstheme="minorHAnsi"/>
              </w:rPr>
              <w:t xml:space="preserve">Languages </w:t>
            </w:r>
            <w:r w:rsidRPr="0052222A">
              <w:rPr>
                <w:rFonts w:eastAsia="Arial" w:cstheme="minorHAnsi"/>
              </w:rPr>
              <w:t>(202</w:t>
            </w:r>
            <w:r w:rsidR="007F7A57" w:rsidRPr="0052222A">
              <w:rPr>
                <w:rFonts w:eastAsia="Arial" w:cstheme="minorHAnsi"/>
              </w:rPr>
              <w:t>1</w:t>
            </w:r>
            <w:r w:rsidRPr="0052222A">
              <w:rPr>
                <w:rFonts w:eastAsia="Arial" w:cstheme="minorHAnsi"/>
              </w:rPr>
              <w:t>).</w:t>
            </w:r>
          </w:p>
          <w:p w14:paraId="22BAB81C" w14:textId="77777777" w:rsidR="00F80176" w:rsidRPr="00861B5E" w:rsidRDefault="00F80176" w:rsidP="00F8017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1D90701" w14:textId="73A5BB0D" w:rsidR="00F80176" w:rsidRPr="00861B5E" w:rsidRDefault="00F80176" w:rsidP="007F7A5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96" w:type="dxa"/>
          </w:tcPr>
          <w:p w14:paraId="49CB2961" w14:textId="77777777" w:rsidR="00F80176" w:rsidRPr="0052222A" w:rsidRDefault="00F80176" w:rsidP="00F80176">
            <w:pPr>
              <w:rPr>
                <w:rFonts w:cstheme="minorHAnsi"/>
              </w:rPr>
            </w:pPr>
            <w:r w:rsidRPr="0052222A">
              <w:rPr>
                <w:rFonts w:cstheme="minorHAnsi"/>
              </w:rPr>
              <w:t>Weekly Development Summary</w:t>
            </w:r>
          </w:p>
          <w:p w14:paraId="11FF5139" w14:textId="77777777" w:rsidR="00F80176" w:rsidRPr="0052222A" w:rsidRDefault="00F80176" w:rsidP="00F80176">
            <w:pPr>
              <w:rPr>
                <w:rFonts w:cstheme="minorHAnsi"/>
              </w:rPr>
            </w:pPr>
            <w:r w:rsidRPr="0052222A">
              <w:rPr>
                <w:rFonts w:cstheme="minorHAnsi"/>
              </w:rPr>
              <w:t xml:space="preserve"> </w:t>
            </w:r>
          </w:p>
          <w:p w14:paraId="0ADBA92A" w14:textId="77777777" w:rsidR="00F80176" w:rsidRPr="0052222A" w:rsidRDefault="00F80176" w:rsidP="00F80176">
            <w:pPr>
              <w:rPr>
                <w:rFonts w:cstheme="minorHAnsi"/>
              </w:rPr>
            </w:pPr>
            <w:r w:rsidRPr="0052222A">
              <w:rPr>
                <w:rFonts w:cstheme="minorHAnsi"/>
              </w:rPr>
              <w:t>Lesson Observations</w:t>
            </w:r>
          </w:p>
          <w:p w14:paraId="27F55F3D" w14:textId="77777777" w:rsidR="00F80176" w:rsidRPr="0052222A" w:rsidRDefault="00F80176" w:rsidP="00F80176">
            <w:pPr>
              <w:rPr>
                <w:rFonts w:cstheme="minorHAnsi"/>
              </w:rPr>
            </w:pPr>
          </w:p>
          <w:p w14:paraId="1CE4D60C" w14:textId="3F1FF6CC" w:rsidR="00F80176" w:rsidRPr="0052222A" w:rsidRDefault="00F80176" w:rsidP="00F80176">
            <w:pPr>
              <w:rPr>
                <w:rFonts w:cstheme="minorHAnsi"/>
              </w:rPr>
            </w:pPr>
            <w:r w:rsidRPr="0052222A">
              <w:rPr>
                <w:rFonts w:cstheme="minorHAnsi"/>
              </w:rPr>
              <w:t xml:space="preserve">Discussion with </w:t>
            </w:r>
            <w:r w:rsidR="007F7A57" w:rsidRPr="0052222A">
              <w:rPr>
                <w:rFonts w:cstheme="minorHAnsi"/>
              </w:rPr>
              <w:t xml:space="preserve">language </w:t>
            </w:r>
            <w:r w:rsidRPr="0052222A">
              <w:rPr>
                <w:rFonts w:cstheme="minorHAnsi"/>
              </w:rPr>
              <w:t>subject leader</w:t>
            </w:r>
            <w:r w:rsidR="00A75E9F">
              <w:rPr>
                <w:rFonts w:cstheme="minorHAnsi"/>
              </w:rPr>
              <w:t>/expert colleagues</w:t>
            </w:r>
            <w:r w:rsidRPr="0052222A">
              <w:rPr>
                <w:rFonts w:cstheme="minorHAnsi"/>
              </w:rPr>
              <w:t>.</w:t>
            </w:r>
          </w:p>
          <w:p w14:paraId="7E94403D" w14:textId="77777777" w:rsidR="00F80176" w:rsidRPr="00861B5E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05FE4C64" w14:textId="77777777" w:rsidR="00AD349A" w:rsidRPr="00861B5E" w:rsidRDefault="00AD349A" w:rsidP="000074DC">
      <w:pPr>
        <w:rPr>
          <w:rFonts w:ascii="Arial" w:hAnsi="Arial" w:cs="Arial"/>
          <w:b/>
          <w:bCs/>
          <w:sz w:val="20"/>
          <w:szCs w:val="20"/>
        </w:rPr>
      </w:pPr>
    </w:p>
    <w:sectPr w:rsidR="00AD349A" w:rsidRPr="00861B5E" w:rsidSect="000D42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3F5AB" w14:textId="77777777" w:rsidR="000D6A94" w:rsidRDefault="000D6A94" w:rsidP="00D33357">
      <w:pPr>
        <w:spacing w:after="0" w:line="240" w:lineRule="auto"/>
      </w:pPr>
      <w:r>
        <w:separator/>
      </w:r>
    </w:p>
  </w:endnote>
  <w:endnote w:type="continuationSeparator" w:id="0">
    <w:p w14:paraId="383FEC8E" w14:textId="77777777" w:rsidR="000D6A94" w:rsidRDefault="000D6A94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D5269" w14:textId="77777777" w:rsidR="000D6A94" w:rsidRDefault="000D6A94" w:rsidP="00D33357">
      <w:pPr>
        <w:spacing w:after="0" w:line="240" w:lineRule="auto"/>
      </w:pPr>
      <w:r>
        <w:separator/>
      </w:r>
    </w:p>
  </w:footnote>
  <w:footnote w:type="continuationSeparator" w:id="0">
    <w:p w14:paraId="27BE3984" w14:textId="77777777" w:rsidR="000D6A94" w:rsidRDefault="000D6A94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49E"/>
    <w:multiLevelType w:val="hybridMultilevel"/>
    <w:tmpl w:val="9574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482"/>
    <w:multiLevelType w:val="hybridMultilevel"/>
    <w:tmpl w:val="F80EF374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13F373F8"/>
    <w:multiLevelType w:val="hybridMultilevel"/>
    <w:tmpl w:val="6BFC3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6B13"/>
    <w:multiLevelType w:val="hybridMultilevel"/>
    <w:tmpl w:val="EC365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4A75"/>
    <w:multiLevelType w:val="hybridMultilevel"/>
    <w:tmpl w:val="5C581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6BA6"/>
    <w:multiLevelType w:val="hybridMultilevel"/>
    <w:tmpl w:val="0352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8" w15:restartNumberingAfterBreak="0">
    <w:nsid w:val="1D753C25"/>
    <w:multiLevelType w:val="hybridMultilevel"/>
    <w:tmpl w:val="1C26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C5477"/>
    <w:multiLevelType w:val="hybridMultilevel"/>
    <w:tmpl w:val="3AC0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E506E"/>
    <w:multiLevelType w:val="hybridMultilevel"/>
    <w:tmpl w:val="A00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4F95"/>
    <w:multiLevelType w:val="hybridMultilevel"/>
    <w:tmpl w:val="7BB8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82F5B"/>
    <w:multiLevelType w:val="multilevel"/>
    <w:tmpl w:val="E614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CB6ABA"/>
    <w:multiLevelType w:val="multilevel"/>
    <w:tmpl w:val="73EC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9B16BA"/>
    <w:multiLevelType w:val="hybridMultilevel"/>
    <w:tmpl w:val="317E3D2E"/>
    <w:lvl w:ilvl="0" w:tplc="76E4A1C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0AF962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72632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D8D89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45A4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7A740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E4F87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F8507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281B4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F10CCB"/>
    <w:multiLevelType w:val="multilevel"/>
    <w:tmpl w:val="E28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7D68C5"/>
    <w:multiLevelType w:val="hybridMultilevel"/>
    <w:tmpl w:val="243C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A5A6D"/>
    <w:multiLevelType w:val="hybridMultilevel"/>
    <w:tmpl w:val="A4FE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E574C"/>
    <w:multiLevelType w:val="hybridMultilevel"/>
    <w:tmpl w:val="E716F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E4631"/>
    <w:multiLevelType w:val="hybridMultilevel"/>
    <w:tmpl w:val="2EBC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E6E25"/>
    <w:multiLevelType w:val="hybridMultilevel"/>
    <w:tmpl w:val="B88C7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23"/>
  </w:num>
  <w:num w:numId="2" w16cid:durableId="1392968298">
    <w:abstractNumId w:val="6"/>
  </w:num>
  <w:num w:numId="3" w16cid:durableId="1781803602">
    <w:abstractNumId w:val="14"/>
  </w:num>
  <w:num w:numId="4" w16cid:durableId="1726752805">
    <w:abstractNumId w:val="18"/>
  </w:num>
  <w:num w:numId="5" w16cid:durableId="1833400578">
    <w:abstractNumId w:val="17"/>
  </w:num>
  <w:num w:numId="6" w16cid:durableId="2103530919">
    <w:abstractNumId w:val="22"/>
  </w:num>
  <w:num w:numId="7" w16cid:durableId="388459131">
    <w:abstractNumId w:val="16"/>
  </w:num>
  <w:num w:numId="8" w16cid:durableId="1372848725">
    <w:abstractNumId w:val="7"/>
  </w:num>
  <w:num w:numId="9" w16cid:durableId="747730205">
    <w:abstractNumId w:val="9"/>
  </w:num>
  <w:num w:numId="10" w16cid:durableId="431515303">
    <w:abstractNumId w:val="24"/>
  </w:num>
  <w:num w:numId="11" w16cid:durableId="1679573438">
    <w:abstractNumId w:val="20"/>
  </w:num>
  <w:num w:numId="12" w16cid:durableId="457648533">
    <w:abstractNumId w:val="0"/>
  </w:num>
  <w:num w:numId="13" w16cid:durableId="1656689123">
    <w:abstractNumId w:val="21"/>
  </w:num>
  <w:num w:numId="14" w16cid:durableId="470951998">
    <w:abstractNumId w:val="2"/>
  </w:num>
  <w:num w:numId="15" w16cid:durableId="2073968620">
    <w:abstractNumId w:val="1"/>
  </w:num>
  <w:num w:numId="16" w16cid:durableId="1284070162">
    <w:abstractNumId w:val="3"/>
  </w:num>
  <w:num w:numId="17" w16cid:durableId="678967179">
    <w:abstractNumId w:val="5"/>
  </w:num>
  <w:num w:numId="18" w16cid:durableId="206836911">
    <w:abstractNumId w:val="4"/>
  </w:num>
  <w:num w:numId="19" w16cid:durableId="472715089">
    <w:abstractNumId w:val="15"/>
  </w:num>
  <w:num w:numId="20" w16cid:durableId="1255288543">
    <w:abstractNumId w:val="25"/>
  </w:num>
  <w:num w:numId="21" w16cid:durableId="1329669326">
    <w:abstractNumId w:val="8"/>
  </w:num>
  <w:num w:numId="22" w16cid:durableId="675696319">
    <w:abstractNumId w:val="11"/>
  </w:num>
  <w:num w:numId="23" w16cid:durableId="1920091805">
    <w:abstractNumId w:val="10"/>
  </w:num>
  <w:num w:numId="24" w16cid:durableId="962155828">
    <w:abstractNumId w:val="26"/>
  </w:num>
  <w:num w:numId="25" w16cid:durableId="2074767514">
    <w:abstractNumId w:val="28"/>
  </w:num>
  <w:num w:numId="26" w16cid:durableId="1732651980">
    <w:abstractNumId w:val="27"/>
  </w:num>
  <w:num w:numId="27" w16cid:durableId="1477070354">
    <w:abstractNumId w:val="12"/>
  </w:num>
  <w:num w:numId="28" w16cid:durableId="1123882023">
    <w:abstractNumId w:val="13"/>
  </w:num>
  <w:num w:numId="29" w16cid:durableId="1717987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19D4"/>
    <w:rsid w:val="00012362"/>
    <w:rsid w:val="000133F2"/>
    <w:rsid w:val="0003046F"/>
    <w:rsid w:val="00031A14"/>
    <w:rsid w:val="00060D50"/>
    <w:rsid w:val="00070110"/>
    <w:rsid w:val="00070151"/>
    <w:rsid w:val="0008458E"/>
    <w:rsid w:val="0009167E"/>
    <w:rsid w:val="00093BA9"/>
    <w:rsid w:val="000A2FC8"/>
    <w:rsid w:val="000D42D9"/>
    <w:rsid w:val="000D6A94"/>
    <w:rsid w:val="000E4484"/>
    <w:rsid w:val="000E7276"/>
    <w:rsid w:val="000F4235"/>
    <w:rsid w:val="000F71E8"/>
    <w:rsid w:val="000F72FB"/>
    <w:rsid w:val="0010394E"/>
    <w:rsid w:val="00117C47"/>
    <w:rsid w:val="00120799"/>
    <w:rsid w:val="00131A57"/>
    <w:rsid w:val="0014232E"/>
    <w:rsid w:val="00163A8B"/>
    <w:rsid w:val="00180374"/>
    <w:rsid w:val="00180818"/>
    <w:rsid w:val="0018552D"/>
    <w:rsid w:val="001923A7"/>
    <w:rsid w:val="001A0646"/>
    <w:rsid w:val="001A1D34"/>
    <w:rsid w:val="001B1DD9"/>
    <w:rsid w:val="001B27C8"/>
    <w:rsid w:val="001D3AAB"/>
    <w:rsid w:val="001E2E3B"/>
    <w:rsid w:val="00200797"/>
    <w:rsid w:val="002157F7"/>
    <w:rsid w:val="00223EE0"/>
    <w:rsid w:val="00224E1B"/>
    <w:rsid w:val="002268CC"/>
    <w:rsid w:val="00252C7B"/>
    <w:rsid w:val="0025609D"/>
    <w:rsid w:val="00257B79"/>
    <w:rsid w:val="00267275"/>
    <w:rsid w:val="002925C5"/>
    <w:rsid w:val="002A2FFB"/>
    <w:rsid w:val="002B1337"/>
    <w:rsid w:val="002B15ED"/>
    <w:rsid w:val="002B344B"/>
    <w:rsid w:val="002B5302"/>
    <w:rsid w:val="002C0FB3"/>
    <w:rsid w:val="002C694E"/>
    <w:rsid w:val="002D167D"/>
    <w:rsid w:val="002F2ACB"/>
    <w:rsid w:val="002F3793"/>
    <w:rsid w:val="003057EC"/>
    <w:rsid w:val="00336978"/>
    <w:rsid w:val="003442F7"/>
    <w:rsid w:val="00353A34"/>
    <w:rsid w:val="00353F20"/>
    <w:rsid w:val="00355346"/>
    <w:rsid w:val="00362D6F"/>
    <w:rsid w:val="003A2A98"/>
    <w:rsid w:val="003B397B"/>
    <w:rsid w:val="003B3F79"/>
    <w:rsid w:val="003B76B2"/>
    <w:rsid w:val="003C0367"/>
    <w:rsid w:val="003D7431"/>
    <w:rsid w:val="003E1DAB"/>
    <w:rsid w:val="004132F6"/>
    <w:rsid w:val="00415449"/>
    <w:rsid w:val="00417175"/>
    <w:rsid w:val="00445432"/>
    <w:rsid w:val="004534A9"/>
    <w:rsid w:val="00454ECA"/>
    <w:rsid w:val="00456EFE"/>
    <w:rsid w:val="00470BFE"/>
    <w:rsid w:val="0047246B"/>
    <w:rsid w:val="00473747"/>
    <w:rsid w:val="00477E5A"/>
    <w:rsid w:val="00480E6F"/>
    <w:rsid w:val="0048405A"/>
    <w:rsid w:val="00486944"/>
    <w:rsid w:val="00492A15"/>
    <w:rsid w:val="004A490C"/>
    <w:rsid w:val="004C0183"/>
    <w:rsid w:val="004D5B26"/>
    <w:rsid w:val="004D6F6C"/>
    <w:rsid w:val="004E14B1"/>
    <w:rsid w:val="004E5D83"/>
    <w:rsid w:val="00502E09"/>
    <w:rsid w:val="00505550"/>
    <w:rsid w:val="00507F3E"/>
    <w:rsid w:val="00512080"/>
    <w:rsid w:val="005144E4"/>
    <w:rsid w:val="00517560"/>
    <w:rsid w:val="00517951"/>
    <w:rsid w:val="0052222A"/>
    <w:rsid w:val="00531976"/>
    <w:rsid w:val="00536B6F"/>
    <w:rsid w:val="005400A0"/>
    <w:rsid w:val="0054120D"/>
    <w:rsid w:val="005618F0"/>
    <w:rsid w:val="00570238"/>
    <w:rsid w:val="00575136"/>
    <w:rsid w:val="0058405B"/>
    <w:rsid w:val="00586A2A"/>
    <w:rsid w:val="0059745F"/>
    <w:rsid w:val="005975C4"/>
    <w:rsid w:val="005A5495"/>
    <w:rsid w:val="005A7C47"/>
    <w:rsid w:val="005C1916"/>
    <w:rsid w:val="005C4533"/>
    <w:rsid w:val="005C74A9"/>
    <w:rsid w:val="005E091A"/>
    <w:rsid w:val="005F009B"/>
    <w:rsid w:val="0061394C"/>
    <w:rsid w:val="00620A02"/>
    <w:rsid w:val="00623BD8"/>
    <w:rsid w:val="00623E47"/>
    <w:rsid w:val="00633CFA"/>
    <w:rsid w:val="006352ED"/>
    <w:rsid w:val="006359F7"/>
    <w:rsid w:val="00637C12"/>
    <w:rsid w:val="00663995"/>
    <w:rsid w:val="00665D7D"/>
    <w:rsid w:val="00675157"/>
    <w:rsid w:val="00681827"/>
    <w:rsid w:val="0068639B"/>
    <w:rsid w:val="006909D7"/>
    <w:rsid w:val="006B4197"/>
    <w:rsid w:val="006B4CBA"/>
    <w:rsid w:val="006C3151"/>
    <w:rsid w:val="006C628E"/>
    <w:rsid w:val="006D12F4"/>
    <w:rsid w:val="006D309E"/>
    <w:rsid w:val="006D4F14"/>
    <w:rsid w:val="006E7E5F"/>
    <w:rsid w:val="006F45C2"/>
    <w:rsid w:val="006F6766"/>
    <w:rsid w:val="00722A1C"/>
    <w:rsid w:val="0073250C"/>
    <w:rsid w:val="007461DF"/>
    <w:rsid w:val="0075440B"/>
    <w:rsid w:val="00756195"/>
    <w:rsid w:val="00757F1D"/>
    <w:rsid w:val="00780428"/>
    <w:rsid w:val="007937C7"/>
    <w:rsid w:val="007955A7"/>
    <w:rsid w:val="007A5F85"/>
    <w:rsid w:val="007B266F"/>
    <w:rsid w:val="007B3320"/>
    <w:rsid w:val="007F0976"/>
    <w:rsid w:val="007F393C"/>
    <w:rsid w:val="007F7A57"/>
    <w:rsid w:val="0081084C"/>
    <w:rsid w:val="0082304A"/>
    <w:rsid w:val="00824687"/>
    <w:rsid w:val="008255C6"/>
    <w:rsid w:val="00836DC8"/>
    <w:rsid w:val="00844160"/>
    <w:rsid w:val="0084480C"/>
    <w:rsid w:val="00845AB9"/>
    <w:rsid w:val="00851110"/>
    <w:rsid w:val="00852AC5"/>
    <w:rsid w:val="00861B5E"/>
    <w:rsid w:val="00881500"/>
    <w:rsid w:val="008A6BDE"/>
    <w:rsid w:val="008B6642"/>
    <w:rsid w:val="008B6FFC"/>
    <w:rsid w:val="008C0620"/>
    <w:rsid w:val="008C0996"/>
    <w:rsid w:val="008D0892"/>
    <w:rsid w:val="008E0DA7"/>
    <w:rsid w:val="008E23BE"/>
    <w:rsid w:val="008E4473"/>
    <w:rsid w:val="008E6DEC"/>
    <w:rsid w:val="008E7F9B"/>
    <w:rsid w:val="0090067F"/>
    <w:rsid w:val="00906115"/>
    <w:rsid w:val="00916E30"/>
    <w:rsid w:val="00924759"/>
    <w:rsid w:val="00935A53"/>
    <w:rsid w:val="00937C1B"/>
    <w:rsid w:val="00945359"/>
    <w:rsid w:val="00967F3A"/>
    <w:rsid w:val="00976CCD"/>
    <w:rsid w:val="009822A7"/>
    <w:rsid w:val="00992F5B"/>
    <w:rsid w:val="009962F2"/>
    <w:rsid w:val="00996CF0"/>
    <w:rsid w:val="009A04FD"/>
    <w:rsid w:val="009A325E"/>
    <w:rsid w:val="009B3281"/>
    <w:rsid w:val="009B3627"/>
    <w:rsid w:val="009B6F70"/>
    <w:rsid w:val="009C7A7E"/>
    <w:rsid w:val="009F0B14"/>
    <w:rsid w:val="009F6863"/>
    <w:rsid w:val="00A10021"/>
    <w:rsid w:val="00A16E0F"/>
    <w:rsid w:val="00A24A85"/>
    <w:rsid w:val="00A605F7"/>
    <w:rsid w:val="00A619D2"/>
    <w:rsid w:val="00A624F0"/>
    <w:rsid w:val="00A66D02"/>
    <w:rsid w:val="00A75E9F"/>
    <w:rsid w:val="00A77E76"/>
    <w:rsid w:val="00A82E8D"/>
    <w:rsid w:val="00A87719"/>
    <w:rsid w:val="00AA13FD"/>
    <w:rsid w:val="00AA6E25"/>
    <w:rsid w:val="00AC39A6"/>
    <w:rsid w:val="00AD349A"/>
    <w:rsid w:val="00AE069B"/>
    <w:rsid w:val="00AE0A3A"/>
    <w:rsid w:val="00AE115D"/>
    <w:rsid w:val="00AF3A47"/>
    <w:rsid w:val="00B02E78"/>
    <w:rsid w:val="00B07754"/>
    <w:rsid w:val="00B1137C"/>
    <w:rsid w:val="00B13E1E"/>
    <w:rsid w:val="00B17F8B"/>
    <w:rsid w:val="00B27238"/>
    <w:rsid w:val="00B44BAE"/>
    <w:rsid w:val="00B541EA"/>
    <w:rsid w:val="00B6181D"/>
    <w:rsid w:val="00B64096"/>
    <w:rsid w:val="00B64E8B"/>
    <w:rsid w:val="00B70532"/>
    <w:rsid w:val="00B72F01"/>
    <w:rsid w:val="00B84477"/>
    <w:rsid w:val="00B872C9"/>
    <w:rsid w:val="00BA2315"/>
    <w:rsid w:val="00BA35BE"/>
    <w:rsid w:val="00BA6372"/>
    <w:rsid w:val="00BB72B4"/>
    <w:rsid w:val="00BB75F6"/>
    <w:rsid w:val="00BC2F85"/>
    <w:rsid w:val="00BD2880"/>
    <w:rsid w:val="00BF74B3"/>
    <w:rsid w:val="00C03775"/>
    <w:rsid w:val="00C044CF"/>
    <w:rsid w:val="00C04C87"/>
    <w:rsid w:val="00C106ED"/>
    <w:rsid w:val="00C2028E"/>
    <w:rsid w:val="00C27298"/>
    <w:rsid w:val="00C30F12"/>
    <w:rsid w:val="00C66673"/>
    <w:rsid w:val="00C6713A"/>
    <w:rsid w:val="00C8757E"/>
    <w:rsid w:val="00C91252"/>
    <w:rsid w:val="00CA7724"/>
    <w:rsid w:val="00CC0E6F"/>
    <w:rsid w:val="00CC38CC"/>
    <w:rsid w:val="00CE3927"/>
    <w:rsid w:val="00CE6F8D"/>
    <w:rsid w:val="00D124E7"/>
    <w:rsid w:val="00D17ECB"/>
    <w:rsid w:val="00D33357"/>
    <w:rsid w:val="00D54766"/>
    <w:rsid w:val="00D65900"/>
    <w:rsid w:val="00D741CE"/>
    <w:rsid w:val="00D9051A"/>
    <w:rsid w:val="00D94B49"/>
    <w:rsid w:val="00DB29EE"/>
    <w:rsid w:val="00DB5AD3"/>
    <w:rsid w:val="00DD0E55"/>
    <w:rsid w:val="00DD3680"/>
    <w:rsid w:val="00DD6AB7"/>
    <w:rsid w:val="00DE7994"/>
    <w:rsid w:val="00DF5DC2"/>
    <w:rsid w:val="00E018E6"/>
    <w:rsid w:val="00E01B38"/>
    <w:rsid w:val="00E07E9D"/>
    <w:rsid w:val="00E35E15"/>
    <w:rsid w:val="00E42180"/>
    <w:rsid w:val="00E76B3A"/>
    <w:rsid w:val="00E81E5B"/>
    <w:rsid w:val="00E81F11"/>
    <w:rsid w:val="00EA24C5"/>
    <w:rsid w:val="00EB48FA"/>
    <w:rsid w:val="00EB6E0D"/>
    <w:rsid w:val="00EF2C86"/>
    <w:rsid w:val="00F10ECA"/>
    <w:rsid w:val="00F17ED0"/>
    <w:rsid w:val="00F253AC"/>
    <w:rsid w:val="00F323CB"/>
    <w:rsid w:val="00F3525E"/>
    <w:rsid w:val="00F41083"/>
    <w:rsid w:val="00F43C17"/>
    <w:rsid w:val="00F45ECE"/>
    <w:rsid w:val="00F476F0"/>
    <w:rsid w:val="00F56AFA"/>
    <w:rsid w:val="00F5742C"/>
    <w:rsid w:val="00F76E3A"/>
    <w:rsid w:val="00F80176"/>
    <w:rsid w:val="00FA6577"/>
    <w:rsid w:val="00FA6853"/>
    <w:rsid w:val="00FB4E81"/>
    <w:rsid w:val="00FC7717"/>
    <w:rsid w:val="00FD0D39"/>
    <w:rsid w:val="00FE628E"/>
    <w:rsid w:val="174DE022"/>
    <w:rsid w:val="362A5A9F"/>
    <w:rsid w:val="44CB47EC"/>
    <w:rsid w:val="61D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DefaultParagraphFont"/>
    <w:rsid w:val="00517560"/>
  </w:style>
  <w:style w:type="paragraph" w:customStyle="1" w:styleId="paragraph">
    <w:name w:val="paragraph"/>
    <w:basedOn w:val="Normal"/>
    <w:rsid w:val="00DB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29EE"/>
  </w:style>
  <w:style w:type="character" w:customStyle="1" w:styleId="eop">
    <w:name w:val="eop"/>
    <w:basedOn w:val="DefaultParagraphFont"/>
    <w:rsid w:val="00DB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15007-92A7-4893-9D7D-E591AF3B4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474</Words>
  <Characters>2485</Characters>
  <Application>Microsoft Office Word</Application>
  <DocSecurity>0</DocSecurity>
  <Lines>43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Shirley Hindley</cp:lastModifiedBy>
  <cp:revision>16</cp:revision>
  <dcterms:created xsi:type="dcterms:W3CDTF">2024-07-05T13:13:00Z</dcterms:created>
  <dcterms:modified xsi:type="dcterms:W3CDTF">2024-07-05T14:00:00Z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