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586ACC58"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2D71BC" w:rsidRPr="00333FF9">
              <w:rPr>
                <w:rFonts w:ascii="Cambria" w:eastAsia="Georgia" w:hAnsi="Cambria" w:cs="Georgia"/>
                <w:b/>
                <w:color w:val="000000" w:themeColor="text1"/>
              </w:rPr>
              <w:t>3</w:t>
            </w:r>
            <w:r w:rsidR="00966A4C" w:rsidRPr="00333FF9">
              <w:rPr>
                <w:rFonts w:ascii="Cambria" w:eastAsia="Georgia" w:hAnsi="Cambria" w:cs="Georgia"/>
                <w:b/>
                <w:color w:val="000000" w:themeColor="text1"/>
              </w:rPr>
              <w:t>/2</w:t>
            </w:r>
            <w:r w:rsidR="002D71BC" w:rsidRPr="00333FF9">
              <w:rPr>
                <w:rFonts w:ascii="Cambria" w:eastAsia="Georgia" w:hAnsi="Cambria" w:cs="Georgia"/>
                <w:b/>
                <w:color w:val="000000" w:themeColor="text1"/>
              </w:rPr>
              <w:t>4</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7148E3B" w:rsidR="004009A7" w:rsidRPr="00523D39" w:rsidRDefault="005074F9">
            <w:pPr>
              <w:jc w:val="both"/>
              <w:rPr>
                <w:rFonts w:ascii="Cambria" w:hAnsi="Cambria"/>
                <w:b/>
                <w:bCs/>
                <w:sz w:val="20"/>
                <w:szCs w:val="20"/>
              </w:rPr>
            </w:pPr>
            <w:r>
              <w:rPr>
                <w:rFonts w:ascii="Cambria" w:hAnsi="Cambria"/>
                <w:b/>
                <w:bCs/>
                <w:sz w:val="20"/>
                <w:szCs w:val="20"/>
              </w:rPr>
              <w:t xml:space="preserve">7 </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57496A" w:rsidRDefault="002D71BC" w:rsidP="008A67D8">
            <w:pPr>
              <w:rPr>
                <w:rFonts w:ascii="Cambria" w:hAnsi="Cambria"/>
                <w:b/>
                <w:bCs/>
                <w:sz w:val="20"/>
                <w:szCs w:val="20"/>
              </w:rPr>
            </w:pPr>
            <w:r w:rsidRPr="00523D39">
              <w:rPr>
                <w:rFonts w:ascii="Cambria" w:hAnsi="Cambria"/>
                <w:b/>
                <w:bCs/>
                <w:sz w:val="20"/>
                <w:szCs w:val="20"/>
              </w:rPr>
              <w:t>Key reading for the week</w:t>
            </w:r>
          </w:p>
          <w:p w14:paraId="14013C1B" w14:textId="77777777" w:rsidR="00381F63" w:rsidRPr="00523D39" w:rsidRDefault="00381F63" w:rsidP="008A67D8">
            <w:pPr>
              <w:rPr>
                <w:rFonts w:ascii="Cambria" w:hAnsi="Cambria"/>
                <w:b/>
                <w:bCs/>
                <w:sz w:val="20"/>
                <w:szCs w:val="20"/>
              </w:rPr>
            </w:pP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3BA0F484" w14:textId="77777777" w:rsidR="006D0810" w:rsidRPr="006D0810" w:rsidRDefault="006D0810" w:rsidP="006D0810">
            <w:pPr>
              <w:jc w:val="both"/>
              <w:rPr>
                <w:rFonts w:ascii="Cambria" w:hAnsi="Cambria" w:cstheme="minorHAnsi"/>
                <w:b/>
                <w:bCs/>
                <w:sz w:val="20"/>
                <w:szCs w:val="20"/>
              </w:rPr>
            </w:pPr>
            <w:r w:rsidRPr="006D0810">
              <w:rPr>
                <w:rFonts w:ascii="Cambria" w:hAnsi="Cambria" w:cstheme="minorHAnsi"/>
                <w:b/>
                <w:bCs/>
                <w:sz w:val="20"/>
                <w:szCs w:val="20"/>
              </w:rPr>
              <w:t>Summary: This book offers a practical guide for trainee teachers, helping them cultivate essential personal and professional skills for today's teaching environment. It takes a holistic approach to teacher development, addressing both pedagogical techniques and interpersonal skills. The guide highlights the importance of reflective practice, understanding diverse learner needs, and fostering resilience and adaptability in teaching. While it provides a comprehensive introduction to the teaching profession, a deeper focus on theoretical, digital, and context-specific aspects could enhance its usefulness for a wider audience of teaching trainees. Key areas covered include:</w:t>
            </w:r>
          </w:p>
          <w:p w14:paraId="28D13AB4" w14:textId="77777777" w:rsidR="006D0810" w:rsidRPr="006D0810" w:rsidRDefault="006D0810" w:rsidP="006D0810">
            <w:pPr>
              <w:jc w:val="both"/>
              <w:rPr>
                <w:rFonts w:ascii="Cambria" w:hAnsi="Cambria" w:cstheme="minorHAnsi"/>
                <w:b/>
                <w:bCs/>
                <w:sz w:val="20"/>
                <w:szCs w:val="20"/>
              </w:rPr>
            </w:pPr>
            <w:r w:rsidRPr="006D0810">
              <w:rPr>
                <w:rFonts w:ascii="Cambria" w:hAnsi="Cambria" w:cstheme="minorHAnsi"/>
                <w:b/>
                <w:bCs/>
                <w:sz w:val="20"/>
                <w:szCs w:val="20"/>
              </w:rPr>
              <w:t>Professionalism: Understanding the role of a professional teacher, including standards, expectations, and ethical responsibilities.</w:t>
            </w:r>
          </w:p>
          <w:p w14:paraId="7DC5E18E" w14:textId="77777777" w:rsidR="006D0810" w:rsidRPr="006D0810" w:rsidRDefault="006D0810" w:rsidP="006D0810">
            <w:pPr>
              <w:jc w:val="both"/>
              <w:rPr>
                <w:rFonts w:ascii="Cambria" w:hAnsi="Cambria" w:cstheme="minorHAnsi"/>
                <w:b/>
                <w:bCs/>
                <w:sz w:val="20"/>
                <w:szCs w:val="20"/>
              </w:rPr>
            </w:pPr>
            <w:r w:rsidRPr="006D0810">
              <w:rPr>
                <w:rFonts w:ascii="Cambria" w:hAnsi="Cambria" w:cstheme="minorHAnsi"/>
                <w:b/>
                <w:bCs/>
                <w:sz w:val="20"/>
                <w:szCs w:val="20"/>
              </w:rPr>
              <w:t>Pedagogical skills: Designing effective lessons, managing classrooms, and conducting assessments efficiently.</w:t>
            </w:r>
          </w:p>
          <w:p w14:paraId="2B6B0072" w14:textId="77777777" w:rsidR="006D0810" w:rsidRPr="006D0810" w:rsidRDefault="006D0810" w:rsidP="006D0810">
            <w:pPr>
              <w:jc w:val="both"/>
              <w:rPr>
                <w:rFonts w:ascii="Cambria" w:hAnsi="Cambria" w:cstheme="minorHAnsi"/>
                <w:b/>
                <w:bCs/>
                <w:sz w:val="20"/>
                <w:szCs w:val="20"/>
              </w:rPr>
            </w:pPr>
            <w:r w:rsidRPr="006D0810">
              <w:rPr>
                <w:rFonts w:ascii="Cambria" w:hAnsi="Cambria" w:cstheme="minorHAnsi"/>
                <w:b/>
                <w:bCs/>
                <w:sz w:val="20"/>
                <w:szCs w:val="20"/>
              </w:rPr>
              <w:t>Personal development: Managing stress, achieving a work-life balance, and building resilience in demanding teaching contexts.</w:t>
            </w:r>
          </w:p>
          <w:p w14:paraId="42FCD2A1" w14:textId="77777777" w:rsidR="006D0810" w:rsidRPr="006D0810" w:rsidRDefault="006D0810" w:rsidP="006D0810">
            <w:pPr>
              <w:jc w:val="both"/>
              <w:rPr>
                <w:rFonts w:ascii="Cambria" w:hAnsi="Cambria" w:cstheme="minorHAnsi"/>
                <w:b/>
                <w:bCs/>
                <w:sz w:val="20"/>
                <w:szCs w:val="20"/>
              </w:rPr>
            </w:pPr>
            <w:r w:rsidRPr="006D0810">
              <w:rPr>
                <w:rFonts w:ascii="Cambria" w:hAnsi="Cambria" w:cstheme="minorHAnsi"/>
                <w:b/>
                <w:bCs/>
                <w:sz w:val="20"/>
                <w:szCs w:val="20"/>
              </w:rPr>
              <w:t>Reflective practice: Encouraging teachers to reflect on their methods and continually improve through self-awareness.</w:t>
            </w:r>
          </w:p>
          <w:p w14:paraId="49961569" w14:textId="77777777" w:rsidR="006D0810" w:rsidRPr="006D0810" w:rsidRDefault="006D0810" w:rsidP="005074F9">
            <w:pPr>
              <w:jc w:val="both"/>
              <w:rPr>
                <w:rFonts w:ascii="Cambria" w:hAnsi="Cambria" w:cstheme="minorHAnsi"/>
                <w:b/>
                <w:bCs/>
                <w:sz w:val="20"/>
                <w:szCs w:val="20"/>
              </w:rPr>
            </w:pPr>
          </w:p>
          <w:p w14:paraId="70E50068" w14:textId="77777777" w:rsidR="006D0810" w:rsidRPr="006D0810" w:rsidRDefault="006D0810" w:rsidP="005074F9">
            <w:pPr>
              <w:jc w:val="both"/>
              <w:rPr>
                <w:rFonts w:ascii="Cambria" w:hAnsi="Cambria" w:cstheme="minorHAnsi"/>
                <w:b/>
                <w:bCs/>
                <w:sz w:val="20"/>
                <w:szCs w:val="20"/>
              </w:rPr>
            </w:pPr>
          </w:p>
          <w:p w14:paraId="69CECE72" w14:textId="77777777" w:rsidR="003F0779" w:rsidRPr="003F0779" w:rsidRDefault="003F0779" w:rsidP="003F0779">
            <w:pPr>
              <w:rPr>
                <w:rFonts w:ascii="Cambria" w:hAnsi="Cambria" w:cstheme="minorHAnsi"/>
                <w:sz w:val="20"/>
                <w:szCs w:val="20"/>
              </w:rPr>
            </w:pPr>
            <w:r w:rsidRPr="003F0779">
              <w:rPr>
                <w:rFonts w:ascii="Cambria" w:hAnsi="Cambria" w:cstheme="minorHAnsi"/>
                <w:b/>
                <w:bCs/>
                <w:sz w:val="20"/>
                <w:szCs w:val="20"/>
              </w:rPr>
              <w:t>Limitations:</w:t>
            </w:r>
          </w:p>
          <w:p w14:paraId="3DD2E7B8" w14:textId="77777777" w:rsidR="003F0779" w:rsidRPr="003F0779" w:rsidRDefault="003F0779" w:rsidP="003F0779">
            <w:pPr>
              <w:rPr>
                <w:rFonts w:ascii="Cambria" w:hAnsi="Cambria" w:cstheme="minorHAnsi"/>
                <w:sz w:val="20"/>
                <w:szCs w:val="20"/>
              </w:rPr>
            </w:pPr>
            <w:r w:rsidRPr="003F0779">
              <w:rPr>
                <w:rFonts w:ascii="Cambria" w:hAnsi="Cambria" w:cstheme="minorHAnsi"/>
                <w:b/>
                <w:bCs/>
                <w:sz w:val="20"/>
                <w:szCs w:val="20"/>
              </w:rPr>
              <w:t>Limited Depth in Pedagogical Theories:</w:t>
            </w:r>
            <w:r w:rsidRPr="003F0779">
              <w:rPr>
                <w:rFonts w:ascii="Cambria" w:hAnsi="Cambria" w:cstheme="minorHAnsi"/>
                <w:sz w:val="20"/>
                <w:szCs w:val="20"/>
              </w:rPr>
              <w:t xml:space="preserve"> While the book offers practical guidance, it may not delve deeply into the theoretical foundations of pedagogy. Trainees seeking a stronger theoretical basis may need to consult additional resources.</w:t>
            </w:r>
          </w:p>
          <w:p w14:paraId="5F1064CB" w14:textId="77777777" w:rsidR="003F0779" w:rsidRPr="003F0779" w:rsidRDefault="003F0779" w:rsidP="003F0779">
            <w:pPr>
              <w:rPr>
                <w:rFonts w:ascii="Cambria" w:hAnsi="Cambria" w:cstheme="minorHAnsi"/>
                <w:sz w:val="20"/>
                <w:szCs w:val="20"/>
              </w:rPr>
            </w:pPr>
            <w:r w:rsidRPr="003F0779">
              <w:rPr>
                <w:rFonts w:ascii="Cambria" w:hAnsi="Cambria" w:cstheme="minorHAnsi"/>
                <w:b/>
                <w:bCs/>
                <w:sz w:val="20"/>
                <w:szCs w:val="20"/>
              </w:rPr>
              <w:t>Generalised Approach:</w:t>
            </w:r>
            <w:r w:rsidRPr="003F0779">
              <w:rPr>
                <w:rFonts w:ascii="Cambria" w:hAnsi="Cambria" w:cstheme="minorHAnsi"/>
                <w:sz w:val="20"/>
                <w:szCs w:val="20"/>
              </w:rPr>
              <w:t xml:space="preserve"> The advice provided is broad and may not fully address the specific needs of all teaching contexts or subjects, particularly those requiring more specialized expertise (e.g., STEM or vocational education).</w:t>
            </w:r>
          </w:p>
          <w:p w14:paraId="12F7AF9E" w14:textId="77777777" w:rsidR="003F0779" w:rsidRPr="003F0779" w:rsidRDefault="003F0779" w:rsidP="003F0779">
            <w:pPr>
              <w:rPr>
                <w:rFonts w:ascii="Cambria" w:hAnsi="Cambria" w:cstheme="minorHAnsi"/>
                <w:sz w:val="20"/>
                <w:szCs w:val="20"/>
              </w:rPr>
            </w:pPr>
            <w:r w:rsidRPr="003F0779">
              <w:rPr>
                <w:rFonts w:ascii="Cambria" w:hAnsi="Cambria" w:cstheme="minorHAnsi"/>
                <w:b/>
                <w:bCs/>
                <w:sz w:val="20"/>
                <w:szCs w:val="20"/>
              </w:rPr>
              <w:t>Insufficient Focus on Digital Learning:</w:t>
            </w:r>
            <w:r w:rsidRPr="003F0779">
              <w:rPr>
                <w:rFonts w:ascii="Cambria" w:hAnsi="Cambria" w:cstheme="minorHAnsi"/>
                <w:sz w:val="20"/>
                <w:szCs w:val="20"/>
              </w:rPr>
              <w:t xml:space="preserve"> Despite being published in 2021, the book offers limited insights into the integration of technology and digital tools in teaching, a critical area in today’s educational landscape.</w:t>
            </w:r>
          </w:p>
          <w:p w14:paraId="4D2FE307" w14:textId="77777777" w:rsidR="00F45E23" w:rsidRPr="006D0810" w:rsidRDefault="00F45E23" w:rsidP="00F45E23">
            <w:pPr>
              <w:rPr>
                <w:rFonts w:ascii="Cambria" w:hAnsi="Cambria" w:cstheme="minorHAnsi"/>
                <w:sz w:val="20"/>
                <w:szCs w:val="20"/>
              </w:rPr>
            </w:pPr>
          </w:p>
          <w:p w14:paraId="41256998" w14:textId="0BA7FC45" w:rsidR="00F45E23" w:rsidRPr="006D0810" w:rsidRDefault="00F45E23" w:rsidP="00F45E23">
            <w:pPr>
              <w:jc w:val="both"/>
              <w:rPr>
                <w:rFonts w:ascii="Cambria" w:hAnsi="Cambria" w:cstheme="minorHAnsi"/>
                <w:b/>
                <w:bCs/>
                <w:sz w:val="20"/>
                <w:szCs w:val="20"/>
              </w:rPr>
            </w:pPr>
            <w:r w:rsidRPr="006D0810">
              <w:rPr>
                <w:rFonts w:ascii="Cambria" w:hAnsi="Cambria" w:cstheme="minorHAnsi"/>
                <w:b/>
                <w:bCs/>
                <w:sz w:val="20"/>
                <w:szCs w:val="20"/>
              </w:rPr>
              <w:t>Reference</w:t>
            </w:r>
            <w:r w:rsidR="00333FF9" w:rsidRPr="006D0810">
              <w:rPr>
                <w:rFonts w:ascii="Cambria" w:hAnsi="Cambria" w:cstheme="minorHAnsi"/>
                <w:b/>
                <w:bCs/>
                <w:sz w:val="20"/>
                <w:szCs w:val="20"/>
              </w:rPr>
              <w:t>:</w:t>
            </w:r>
            <w:r w:rsidR="005074F9" w:rsidRPr="006D0810">
              <w:rPr>
                <w:rFonts w:ascii="Cambria" w:hAnsi="Cambria" w:cstheme="minorHAnsi"/>
                <w:b/>
                <w:bCs/>
                <w:sz w:val="20"/>
                <w:szCs w:val="20"/>
              </w:rPr>
              <w:t xml:space="preserve"> Thompson, C. &amp; Wolstencroft, P. (2021) Being a </w:t>
            </w:r>
            <w:proofErr w:type="gramStart"/>
            <w:r w:rsidR="005074F9" w:rsidRPr="006D0810">
              <w:rPr>
                <w:rFonts w:ascii="Cambria" w:hAnsi="Cambria" w:cstheme="minorHAnsi"/>
                <w:b/>
                <w:bCs/>
                <w:sz w:val="20"/>
                <w:szCs w:val="20"/>
              </w:rPr>
              <w:t>Teacher</w:t>
            </w:r>
            <w:proofErr w:type="gramEnd"/>
            <w:r w:rsidR="005074F9" w:rsidRPr="006D0810">
              <w:rPr>
                <w:rFonts w:ascii="Cambria" w:hAnsi="Cambria" w:cstheme="minorHAnsi"/>
                <w:b/>
                <w:bCs/>
                <w:sz w:val="20"/>
                <w:szCs w:val="20"/>
              </w:rPr>
              <w:t>: The trainee teacher’s guide to developing the personal and professional skills you need, Learning Matters.</w:t>
            </w:r>
          </w:p>
          <w:p w14:paraId="6071F449" w14:textId="1A8932F4" w:rsidR="00866227" w:rsidRPr="006D0810" w:rsidRDefault="00866227" w:rsidP="00F45E23">
            <w:pPr>
              <w:jc w:val="both"/>
              <w:rPr>
                <w:rFonts w:ascii="Cambria" w:hAnsi="Cambria" w:cstheme="minorHAnsi"/>
                <w:b/>
                <w:bCs/>
                <w:sz w:val="20"/>
                <w:szCs w:val="20"/>
              </w:rPr>
            </w:pPr>
          </w:p>
        </w:tc>
      </w:tr>
      <w:tr w:rsidR="00B5000E"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sidR="00FD47B5">
              <w:rPr>
                <w:rFonts w:ascii="Cambria" w:eastAsia="Georgia" w:hAnsi="Cambria" w:cs="Georgia"/>
                <w:b/>
                <w:sz w:val="20"/>
                <w:szCs w:val="20"/>
              </w:rPr>
              <w:t>s with the curriculum focus</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289E22A5" w:rsidR="00B5000E" w:rsidRPr="00523D39" w:rsidRDefault="00FD47B5" w:rsidP="00560FE2">
            <w:pPr>
              <w:jc w:val="center"/>
              <w:rPr>
                <w:rFonts w:ascii="Cambria" w:hAnsi="Cambria"/>
                <w:b/>
                <w:bCs/>
                <w:sz w:val="20"/>
                <w:szCs w:val="20"/>
              </w:rPr>
            </w:pPr>
            <w:r>
              <w:lastRenderedPageBreak/>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B77C9B1" w14:textId="0321B6AA" w:rsidR="00B5000E" w:rsidRDefault="00C76D95"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lastRenderedPageBreak/>
              <w:t xml:space="preserve">This guide from the EEF discusses evidence based practice in relation to mentoring </w:t>
            </w:r>
            <w:hyperlink r:id="rId12" w:history="1">
              <w:r w:rsidRPr="00511DB3">
                <w:rPr>
                  <w:rStyle w:val="Hyperlink"/>
                  <w:rFonts w:ascii="Cambria" w:hAnsi="Cambria" w:cs="Calibri"/>
                  <w:sz w:val="20"/>
                  <w:szCs w:val="20"/>
                </w:rPr>
                <w:t>https://educationendowmentfoundation.org.uk/education-evidence/teaching-learning-toolkit/mentoring</w:t>
              </w:r>
            </w:hyperlink>
            <w:r>
              <w:rPr>
                <w:rFonts w:ascii="Cambria" w:hAnsi="Cambria" w:cs="Calibri"/>
                <w:color w:val="201F1E"/>
                <w:sz w:val="20"/>
                <w:szCs w:val="20"/>
              </w:rPr>
              <w:t xml:space="preserve"> </w:t>
            </w:r>
          </w:p>
          <w:p w14:paraId="65530240" w14:textId="77777777" w:rsidR="00C76D95" w:rsidRDefault="00C76D95" w:rsidP="00B5000E">
            <w:pPr>
              <w:pStyle w:val="xmsolistparagraph"/>
              <w:shd w:val="clear" w:color="auto" w:fill="FFFFFF"/>
              <w:spacing w:before="0" w:beforeAutospacing="0" w:after="0" w:afterAutospacing="0"/>
              <w:rPr>
                <w:rFonts w:ascii="Cambria" w:hAnsi="Cambria" w:cs="Calibri"/>
                <w:color w:val="201F1E"/>
                <w:sz w:val="20"/>
                <w:szCs w:val="20"/>
              </w:rPr>
            </w:pPr>
          </w:p>
          <w:p w14:paraId="1CB7D69D" w14:textId="05CFBEE8" w:rsidR="00C76D95" w:rsidRPr="00523D39" w:rsidRDefault="00C76D95"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Guidance from the ETF discussing the importance of Safeguarding in an FE setting </w:t>
            </w:r>
            <w:hyperlink r:id="rId13" w:history="1">
              <w:r w:rsidRPr="00511DB3">
                <w:rPr>
                  <w:rStyle w:val="Hyperlink"/>
                  <w:rFonts w:ascii="Cambria" w:hAnsi="Cambria" w:cs="Calibri"/>
                  <w:sz w:val="20"/>
                  <w:szCs w:val="20"/>
                </w:rPr>
                <w:t>https://www.et-foundation.co.uk/professional-development/safeguarding-prevent/</w:t>
              </w:r>
            </w:hyperlink>
            <w:r>
              <w:rPr>
                <w:rFonts w:ascii="Cambria" w:hAnsi="Cambria" w:cs="Calibri"/>
                <w:color w:val="201F1E"/>
                <w:sz w:val="20"/>
                <w:szCs w:val="20"/>
              </w:rPr>
              <w:t xml:space="preserve"> </w:t>
            </w:r>
          </w:p>
          <w:p w14:paraId="4D815854"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6265DD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38EBCED6"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2295E43" w14:textId="77777777" w:rsidR="00B5000E" w:rsidRPr="00523D39" w:rsidRDefault="00B5000E" w:rsidP="00B5000E">
            <w:pPr>
              <w:jc w:val="both"/>
              <w:rPr>
                <w:rFonts w:ascii="Cambria" w:hAnsi="Cambria" w:cstheme="minorHAnsi"/>
                <w:b/>
                <w:bCs/>
                <w:sz w:val="20"/>
                <w:szCs w:val="20"/>
              </w:rPr>
            </w:pPr>
          </w:p>
        </w:tc>
      </w:tr>
      <w:tr w:rsidR="00403E3F"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CB44DE" w:rsidRPr="00523D39" w:rsidRDefault="00CB44DE" w:rsidP="00B5000E">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1D100AB8" w14:textId="363BA0DE" w:rsidR="00C76D95" w:rsidRPr="00C76D95" w:rsidRDefault="00C76D95" w:rsidP="00C76D95">
            <w:pPr>
              <w:rPr>
                <w:rFonts w:ascii="Cambria" w:hAnsi="Cambria"/>
                <w:b/>
                <w:bCs/>
                <w:sz w:val="20"/>
                <w:szCs w:val="20"/>
                <w:shd w:val="clear" w:color="auto" w:fill="FFFFFF"/>
              </w:rPr>
            </w:pPr>
            <w:r w:rsidRPr="00C76D95">
              <w:rPr>
                <w:rFonts w:ascii="Cambria" w:hAnsi="Cambria"/>
                <w:b/>
                <w:bCs/>
                <w:sz w:val="20"/>
                <w:szCs w:val="20"/>
                <w:shd w:val="clear" w:color="auto" w:fill="FFFFFF"/>
              </w:rPr>
              <w:t xml:space="preserve">1.That teachers and lecturers are key role models, who can influence the attitudes, values, and behaviours of their students, with a focus on Canter’s Theory of Assertive Discipline. </w:t>
            </w:r>
          </w:p>
          <w:p w14:paraId="0B77FC8E" w14:textId="77777777" w:rsidR="00C76D95" w:rsidRPr="00C76D95" w:rsidRDefault="00C76D95" w:rsidP="00C76D95">
            <w:pPr>
              <w:rPr>
                <w:rFonts w:ascii="Cambria" w:hAnsi="Cambria"/>
                <w:b/>
                <w:bCs/>
                <w:sz w:val="20"/>
                <w:szCs w:val="20"/>
                <w:shd w:val="clear" w:color="auto" w:fill="FFFFFF"/>
              </w:rPr>
            </w:pPr>
          </w:p>
          <w:p w14:paraId="1520808C" w14:textId="77777777" w:rsidR="00C76D95" w:rsidRPr="00C76D95" w:rsidRDefault="00C76D95" w:rsidP="00C76D95">
            <w:pPr>
              <w:rPr>
                <w:rFonts w:ascii="Cambria" w:hAnsi="Cambria"/>
                <w:b/>
                <w:bCs/>
                <w:sz w:val="20"/>
                <w:szCs w:val="20"/>
                <w:shd w:val="clear" w:color="auto" w:fill="FFFFFF"/>
              </w:rPr>
            </w:pPr>
            <w:r w:rsidRPr="00C76D95">
              <w:rPr>
                <w:rFonts w:ascii="Cambria" w:hAnsi="Cambria"/>
                <w:b/>
                <w:bCs/>
                <w:sz w:val="20"/>
                <w:szCs w:val="20"/>
                <w:shd w:val="clear" w:color="auto" w:fill="FFFFFF"/>
              </w:rPr>
              <w:t>2.That a culture of mutual trust and respect supports effective relationships with learners thereby facilitating learning.</w:t>
            </w:r>
          </w:p>
          <w:p w14:paraId="1AF02DBD" w14:textId="77777777" w:rsidR="00C76D95" w:rsidRPr="00C76D95" w:rsidRDefault="00C76D95" w:rsidP="00C76D95">
            <w:pPr>
              <w:rPr>
                <w:rFonts w:ascii="Cambria" w:hAnsi="Cambria"/>
                <w:b/>
                <w:bCs/>
                <w:sz w:val="20"/>
                <w:szCs w:val="20"/>
                <w:shd w:val="clear" w:color="auto" w:fill="FFFFFF"/>
              </w:rPr>
            </w:pPr>
          </w:p>
          <w:p w14:paraId="7DE37FEB" w14:textId="0B176BF4" w:rsidR="00CB44DE" w:rsidRPr="00523D39" w:rsidRDefault="00C76D95" w:rsidP="00C76D95">
            <w:pPr>
              <w:rPr>
                <w:rFonts w:ascii="Cambria" w:hAnsi="Cambria"/>
                <w:b/>
                <w:bCs/>
                <w:sz w:val="20"/>
                <w:szCs w:val="20"/>
                <w:shd w:val="clear" w:color="auto" w:fill="FFFFFF"/>
              </w:rPr>
            </w:pPr>
            <w:r w:rsidRPr="00C76D95">
              <w:rPr>
                <w:rFonts w:ascii="Cambria" w:hAnsi="Cambria"/>
                <w:b/>
                <w:bCs/>
                <w:sz w:val="20"/>
                <w:szCs w:val="20"/>
                <w:shd w:val="clear" w:color="auto" w:fill="FFFFFF"/>
              </w:rPr>
              <w:t>3. The importance of a positive and safe learning environment rooted in routines and how the building of trusting relationships benefits all students, especially for those learners who have a particular learning difficulty or SEND</w:t>
            </w:r>
          </w:p>
          <w:p w14:paraId="1BAF50F3" w14:textId="11C801F6" w:rsidR="00CB44DE" w:rsidRPr="00523D39" w:rsidRDefault="00CB44DE" w:rsidP="00542102">
            <w:pPr>
              <w:rPr>
                <w:rFonts w:ascii="Cambria" w:hAnsi="Cambria"/>
                <w:b/>
                <w:bCs/>
                <w:sz w:val="20"/>
                <w:szCs w:val="20"/>
                <w:shd w:val="clear" w:color="auto" w:fill="FFFFFF"/>
              </w:rPr>
            </w:pPr>
          </w:p>
          <w:p w14:paraId="4E488AE5" w14:textId="34F56D69" w:rsidR="00CB44DE" w:rsidRPr="00523D39" w:rsidRDefault="00CB44DE" w:rsidP="00542102">
            <w:pPr>
              <w:rPr>
                <w:rFonts w:ascii="Cambria" w:hAnsi="Cambria"/>
                <w:b/>
                <w:bCs/>
                <w:sz w:val="20"/>
                <w:szCs w:val="20"/>
                <w:shd w:val="clear" w:color="auto" w:fill="FFFFFF"/>
              </w:rPr>
            </w:pP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CB44DE" w:rsidRPr="00523D39" w:rsidRDefault="00CB44DE" w:rsidP="003324D5">
            <w:pPr>
              <w:jc w:val="center"/>
              <w:rPr>
                <w:rFonts w:ascii="Cambria" w:hAnsi="Cambria"/>
                <w:sz w:val="20"/>
                <w:szCs w:val="20"/>
              </w:rPr>
            </w:pPr>
          </w:p>
        </w:tc>
      </w:tr>
      <w:tr w:rsidR="00CB44DE"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CB44DE" w:rsidRPr="00523D39" w:rsidRDefault="00CB44DE" w:rsidP="00D7386B">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2400B38F" w14:textId="77777777" w:rsidR="00C76D95" w:rsidRPr="00C76D95" w:rsidRDefault="00C76D95" w:rsidP="00C76D95">
            <w:pPr>
              <w:rPr>
                <w:rFonts w:ascii="Cambria" w:hAnsi="Cambria"/>
                <w:b/>
                <w:bCs/>
                <w:sz w:val="20"/>
                <w:szCs w:val="20"/>
              </w:rPr>
            </w:pPr>
            <w:r w:rsidRPr="00C76D95">
              <w:rPr>
                <w:rFonts w:ascii="Cambria" w:hAnsi="Cambria"/>
                <w:b/>
                <w:bCs/>
                <w:sz w:val="20"/>
                <w:szCs w:val="20"/>
              </w:rPr>
              <w:t>1. Identify and familiarise themselves with placement setting safeguarding procedure, including the name of the Safeguarding Lead. They should know their role and responsibilities in this process to keep children and young people safe.</w:t>
            </w:r>
          </w:p>
          <w:p w14:paraId="49F53756" w14:textId="77777777" w:rsidR="00C76D95" w:rsidRPr="00C76D95" w:rsidRDefault="00C76D95" w:rsidP="00C76D95">
            <w:pPr>
              <w:rPr>
                <w:rFonts w:ascii="Cambria" w:hAnsi="Cambria"/>
                <w:b/>
                <w:bCs/>
                <w:sz w:val="20"/>
                <w:szCs w:val="20"/>
              </w:rPr>
            </w:pPr>
          </w:p>
          <w:p w14:paraId="5F58B588" w14:textId="77777777" w:rsidR="00C76D95" w:rsidRPr="00C76D95" w:rsidRDefault="00C76D95" w:rsidP="00C76D95">
            <w:pPr>
              <w:rPr>
                <w:rFonts w:ascii="Cambria" w:hAnsi="Cambria"/>
                <w:b/>
                <w:bCs/>
                <w:sz w:val="20"/>
                <w:szCs w:val="20"/>
              </w:rPr>
            </w:pPr>
            <w:r w:rsidRPr="00C76D95">
              <w:rPr>
                <w:rFonts w:ascii="Cambria" w:hAnsi="Cambria"/>
                <w:b/>
                <w:bCs/>
                <w:sz w:val="20"/>
                <w:szCs w:val="20"/>
              </w:rPr>
              <w:t xml:space="preserve">2. Create a culture of respect and trust in the classroom that supports all learners to succeed (e.g., by modelling the types of courteous behaviour expected of students) and respond quickly to any behaviour or bullying that threatens emotional safety. </w:t>
            </w:r>
          </w:p>
          <w:p w14:paraId="693913B2" w14:textId="77777777" w:rsidR="00C76D95" w:rsidRPr="00C76D95" w:rsidRDefault="00C76D95" w:rsidP="00C76D95">
            <w:pPr>
              <w:rPr>
                <w:rFonts w:ascii="Cambria" w:hAnsi="Cambria"/>
                <w:b/>
                <w:bCs/>
                <w:sz w:val="20"/>
                <w:szCs w:val="20"/>
              </w:rPr>
            </w:pPr>
          </w:p>
          <w:p w14:paraId="7000E253" w14:textId="4DB58614" w:rsidR="00C76D95" w:rsidRPr="00523D39" w:rsidRDefault="00C76D95" w:rsidP="00C76D95">
            <w:pPr>
              <w:rPr>
                <w:rFonts w:ascii="Cambria" w:hAnsi="Cambria"/>
                <w:b/>
                <w:bCs/>
                <w:sz w:val="20"/>
                <w:szCs w:val="20"/>
              </w:rPr>
            </w:pPr>
            <w:r w:rsidRPr="00C76D95">
              <w:rPr>
                <w:rFonts w:ascii="Cambria" w:hAnsi="Cambria"/>
                <w:b/>
                <w:bCs/>
                <w:sz w:val="20"/>
                <w:szCs w:val="20"/>
              </w:rPr>
              <w:t>3.Use inspirational and consistent language that promotes challenge, aspiration, resilience, and praises student effort.</w:t>
            </w:r>
          </w:p>
          <w:p w14:paraId="3437E904" w14:textId="28972610" w:rsidR="00CB44DE" w:rsidRPr="00523D39" w:rsidRDefault="00CB44DE" w:rsidP="00D7386B">
            <w:pPr>
              <w:rPr>
                <w:rFonts w:ascii="Cambria" w:hAnsi="Cambria"/>
                <w:b/>
                <w:bCs/>
                <w:sz w:val="20"/>
                <w:szCs w:val="20"/>
              </w:rPr>
            </w:pP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00697DAE">
              <w:fldChar w:fldCharType="begin"/>
            </w:r>
            <w:r w:rsidR="00697DAE">
              <w:instrText xml:space="preserve"> INCLUDEPICTURE "https://lh7-us.googleusercontent.com/a7Or1cFQkz0D692C_Vu07_gaolQUVCif2Kkjz1FZrd4TVLFOsw0dhhHNajE_EhrmiFAFJmiZW8k2FydmirkTupJ6AHQGGnSEetogSkMihjwi_s_HDE68QJGAuDUP8tSHHcilh8o6bUmP_BNHgbyC95s3QQ=nw" \* MERGEFORMATINET </w:instrText>
            </w:r>
            <w:r w:rsidR="00697DAE">
              <w:fldChar w:fldCharType="separate"/>
            </w:r>
            <w:r w:rsidR="00697DAE">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697DAE">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04788175" w14:textId="3D4C6AC5" w:rsidR="00451F49" w:rsidRPr="00451F49" w:rsidRDefault="00B5000E" w:rsidP="00451F49">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r w:rsidR="00451F49">
              <w:rPr>
                <w:rFonts w:ascii="Cambria" w:hAnsi="Cambria"/>
                <w:b/>
                <w:bCs/>
                <w:sz w:val="20"/>
                <w:szCs w:val="20"/>
              </w:rPr>
              <w:t xml:space="preserve"> </w:t>
            </w:r>
            <w:r w:rsidR="00451F49" w:rsidRPr="00451F49">
              <w:rPr>
                <w:rFonts w:ascii="Cambria" w:hAnsi="Cambria"/>
                <w:b/>
                <w:bCs/>
                <w:sz w:val="20"/>
                <w:szCs w:val="20"/>
              </w:rPr>
              <w:t>Who is the DSL (Designated Safeguarding Lead) in your setting? What are the processes and structures in place to keep learners safe and what role/responsibility do you play in this?</w:t>
            </w:r>
          </w:p>
          <w:p w14:paraId="2FCBDA67"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2369B8A"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62E7AF5"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3AEDB71F" w14:textId="6BA9832B"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r w:rsidR="00451F49">
              <w:t xml:space="preserve"> </w:t>
            </w:r>
            <w:r w:rsidR="00451F49" w:rsidRPr="00451F49">
              <w:rPr>
                <w:rFonts w:ascii="Cambria" w:hAnsi="Cambria"/>
                <w:b/>
                <w:bCs/>
                <w:sz w:val="20"/>
                <w:szCs w:val="20"/>
              </w:rPr>
              <w:t>Explain what is meant by personal and professional conduct and give examples of the Occupational Standards which you are held to. Why are such standards important?</w:t>
            </w:r>
          </w:p>
          <w:p w14:paraId="22BB80EE" w14:textId="77777777" w:rsidR="00B5000E" w:rsidRPr="00523D39"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B5000E" w:rsidRDefault="00B5000E" w:rsidP="00B5000E">
            <w:pPr>
              <w:pBdr>
                <w:top w:val="nil"/>
                <w:left w:val="nil"/>
                <w:bottom w:val="nil"/>
                <w:right w:val="nil"/>
                <w:between w:val="nil"/>
              </w:pBdr>
              <w:ind w:left="720"/>
              <w:jc w:val="both"/>
              <w:rPr>
                <w:rFonts w:ascii="Cambria" w:hAnsi="Cambria"/>
                <w:b/>
                <w:bCs/>
                <w:sz w:val="20"/>
                <w:szCs w:val="20"/>
              </w:rPr>
            </w:pPr>
          </w:p>
          <w:p w14:paraId="01B2141E" w14:textId="77777777" w:rsidR="00451F49" w:rsidRPr="00523D39" w:rsidRDefault="00451F49" w:rsidP="00B5000E">
            <w:pPr>
              <w:pBdr>
                <w:top w:val="nil"/>
                <w:left w:val="nil"/>
                <w:bottom w:val="nil"/>
                <w:right w:val="nil"/>
                <w:between w:val="nil"/>
              </w:pBdr>
              <w:ind w:left="720"/>
              <w:jc w:val="both"/>
              <w:rPr>
                <w:rFonts w:ascii="Cambria" w:hAnsi="Cambria"/>
                <w:b/>
                <w:bCs/>
                <w:sz w:val="20"/>
                <w:szCs w:val="20"/>
              </w:rPr>
            </w:pPr>
          </w:p>
          <w:p w14:paraId="643430AA" w14:textId="08F57655"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Q3:</w:t>
            </w:r>
            <w:r w:rsidR="00451F49">
              <w:rPr>
                <w:rFonts w:ascii="Cambria" w:hAnsi="Cambria"/>
                <w:b/>
                <w:bCs/>
                <w:sz w:val="20"/>
                <w:szCs w:val="20"/>
              </w:rPr>
              <w:t xml:space="preserve"> </w:t>
            </w:r>
            <w:r w:rsidR="00451F49" w:rsidRPr="00451F49">
              <w:rPr>
                <w:rFonts w:ascii="Cambria" w:hAnsi="Cambria"/>
                <w:b/>
                <w:bCs/>
                <w:sz w:val="20"/>
                <w:szCs w:val="20"/>
              </w:rPr>
              <w:t>What have you learned in relation to professionalism when observing other colleagues from other departments?</w:t>
            </w:r>
          </w:p>
          <w:p w14:paraId="2F73181B" w14:textId="77777777" w:rsidR="00B5000E" w:rsidRDefault="00B5000E" w:rsidP="00B5000E">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412ADCFA" w14:textId="77777777" w:rsidR="0085055D" w:rsidRDefault="0085055D" w:rsidP="00B5000E">
            <w:pPr>
              <w:pBdr>
                <w:top w:val="nil"/>
                <w:left w:val="nil"/>
                <w:bottom w:val="nil"/>
                <w:right w:val="nil"/>
                <w:between w:val="nil"/>
              </w:pBdr>
              <w:jc w:val="both"/>
              <w:rPr>
                <w:rFonts w:ascii="Cambria" w:hAnsi="Cambria"/>
                <w:b/>
                <w:bCs/>
                <w:sz w:val="20"/>
                <w:szCs w:val="20"/>
              </w:rPr>
            </w:pPr>
          </w:p>
          <w:p w14:paraId="39DA35D7" w14:textId="77777777" w:rsidR="00451F49" w:rsidRDefault="00451F49" w:rsidP="00B5000E">
            <w:pPr>
              <w:pBdr>
                <w:top w:val="nil"/>
                <w:left w:val="nil"/>
                <w:bottom w:val="nil"/>
                <w:right w:val="nil"/>
                <w:between w:val="nil"/>
              </w:pBdr>
              <w:jc w:val="both"/>
              <w:rPr>
                <w:rFonts w:ascii="Cambria" w:hAnsi="Cambria"/>
                <w:b/>
                <w:bCs/>
                <w:sz w:val="20"/>
                <w:szCs w:val="20"/>
              </w:rPr>
            </w:pPr>
          </w:p>
          <w:p w14:paraId="675E641A" w14:textId="4150DB2C" w:rsidR="008E45A2" w:rsidRPr="00523D39" w:rsidRDefault="008E45A2" w:rsidP="00B5000E">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w:t>
            </w:r>
            <w:r w:rsidR="004B5455">
              <w:rPr>
                <w:rFonts w:ascii="Cambria" w:hAnsi="Cambria"/>
                <w:b/>
                <w:bCs/>
                <w:sz w:val="20"/>
                <w:szCs w:val="20"/>
              </w:rPr>
              <w:t xml:space="preserve">Y/N </w:t>
            </w:r>
            <w:r w:rsidR="004B5455" w:rsidRPr="004B5455">
              <w:rPr>
                <w:rFonts w:ascii="Cambria" w:hAnsi="Cambria"/>
                <w:i/>
                <w:iCs/>
                <w:sz w:val="14"/>
                <w:szCs w:val="14"/>
              </w:rPr>
              <w:t>(if N, please provide details)</w:t>
            </w:r>
          </w:p>
          <w:p w14:paraId="11852BB5" w14:textId="27192A8F" w:rsidR="008B1D2B" w:rsidRPr="00523D39" w:rsidRDefault="008B1D2B"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5B4EB0DF" w:rsidR="00560FE2" w:rsidRPr="00523D39" w:rsidRDefault="00EF50F0"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sidR="00FD47B5">
              <w:fldChar w:fldCharType="begin"/>
            </w:r>
            <w:r w:rsidR="00FD47B5">
              <w:instrText xml:space="preserve"> INCLUDEPICTURE "https://lh7-us.googleusercontent.com/a7Or1cFQkz0D692C_Vu07_gaolQUVCif2Kkjz1FZrd4TVLFOsw0dhhHNajE_EhrmiFAFJmiZW8k2FydmirkTupJ6AHQGGnSEetogSkMihjwi_s_HDE68QJGAuDUP8tSHHcilh8o6bUmP_BNHgbyC95s3QQ=nw" \* MERGEFORMATINET </w:instrText>
            </w:r>
            <w:r w:rsidR="00FD47B5">
              <w:fldChar w:fldCharType="separate"/>
            </w:r>
            <w:r w:rsidR="00FD47B5">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rsidR="00FD47B5">
              <w:fldChar w:fldCharType="end"/>
            </w:r>
            <w:r>
              <w:fldChar w:fldCharType="end"/>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B5000E" w:rsidRPr="00F54737" w:rsidRDefault="00E5003C" w:rsidP="00B5000E">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w:t>
            </w:r>
            <w:r w:rsidR="00AB1862" w:rsidRPr="00F54737">
              <w:rPr>
                <w:rFonts w:ascii="Cambria" w:hAnsi="Cambria" w:cs="Calibri"/>
                <w:i/>
                <w:iCs/>
                <w:color w:val="201F1E"/>
                <w:sz w:val="20"/>
                <w:szCs w:val="20"/>
              </w:rPr>
              <w:t xml:space="preserve"> review of</w:t>
            </w:r>
            <w:r w:rsidRPr="00F54737">
              <w:rPr>
                <w:rFonts w:ascii="Cambria" w:hAnsi="Cambria" w:cs="Calibri"/>
                <w:i/>
                <w:iCs/>
                <w:color w:val="201F1E"/>
                <w:sz w:val="20"/>
                <w:szCs w:val="20"/>
              </w:rPr>
              <w:t xml:space="preserve"> subject knowledge</w:t>
            </w:r>
            <w:r w:rsidR="00AB1862" w:rsidRPr="00F54737">
              <w:rPr>
                <w:rFonts w:ascii="Cambria" w:hAnsi="Cambria" w:cs="Calibri"/>
                <w:i/>
                <w:iCs/>
                <w:color w:val="201F1E"/>
                <w:sz w:val="20"/>
                <w:szCs w:val="20"/>
              </w:rPr>
              <w:t xml:space="preserve">, </w:t>
            </w:r>
            <w:r w:rsidRPr="00F54737">
              <w:rPr>
                <w:rFonts w:ascii="Cambria" w:hAnsi="Cambria" w:cs="Calibri"/>
                <w:i/>
                <w:iCs/>
                <w:color w:val="201F1E"/>
                <w:sz w:val="20"/>
                <w:szCs w:val="20"/>
              </w:rPr>
              <w:t>relevant CPD</w:t>
            </w:r>
            <w:r w:rsidR="00AB1862" w:rsidRPr="00F54737">
              <w:rPr>
                <w:rFonts w:ascii="Cambria" w:hAnsi="Cambria" w:cs="Calibri"/>
                <w:i/>
                <w:iCs/>
                <w:color w:val="201F1E"/>
                <w:sz w:val="20"/>
                <w:szCs w:val="20"/>
              </w:rPr>
              <w:t>, arrangements for upcoming lesson observation, school/department events etc</w:t>
            </w:r>
            <w:r w:rsidR="00F83B94" w:rsidRPr="00F54737">
              <w:rPr>
                <w:rFonts w:ascii="Cambria" w:hAnsi="Cambria" w:cs="Calibri"/>
                <w:i/>
                <w:iCs/>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381F63"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381F63" w:rsidRDefault="00381F63" w:rsidP="00B5000E">
            <w:pPr>
              <w:spacing w:line="237" w:lineRule="auto"/>
              <w:jc w:val="center"/>
              <w:rPr>
                <w:rFonts w:ascii="Cambria" w:eastAsia="Georgia" w:hAnsi="Cambria" w:cs="Georgia"/>
                <w:b/>
                <w:sz w:val="20"/>
                <w:szCs w:val="20"/>
              </w:rPr>
            </w:pPr>
          </w:p>
          <w:p w14:paraId="1E3F347B" w14:textId="607A2AAD" w:rsidR="00581390" w:rsidRPr="00523D39" w:rsidRDefault="00581390"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F54737" w:rsidRDefault="00581390" w:rsidP="00B5000E">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581390"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581390" w:rsidRPr="003E2B6C" w:rsidRDefault="00581390" w:rsidP="003E2B6C">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F54737" w:rsidRDefault="00581390" w:rsidP="00581390">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B38FA"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381F63"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w:t>
            </w:r>
            <w:r w:rsidR="00381F63">
              <w:rPr>
                <w:rFonts w:ascii="Cambria" w:eastAsia="Georgia" w:hAnsi="Cambria" w:cs="Georgia"/>
                <w:b/>
                <w:sz w:val="20"/>
                <w:szCs w:val="20"/>
              </w:rPr>
              <w:t>ss</w:t>
            </w:r>
          </w:p>
          <w:p w14:paraId="2E7BDA80" w14:textId="77777777" w:rsidR="00381F63" w:rsidRDefault="00381F63" w:rsidP="00B5000E">
            <w:pPr>
              <w:spacing w:line="237" w:lineRule="auto"/>
              <w:jc w:val="center"/>
              <w:rPr>
                <w:rFonts w:ascii="Cambria" w:eastAsia="Georgia" w:hAnsi="Cambria" w:cs="Georgia"/>
                <w:b/>
                <w:sz w:val="20"/>
                <w:szCs w:val="20"/>
              </w:rPr>
            </w:pPr>
          </w:p>
          <w:p w14:paraId="78D25B1F" w14:textId="2EBA0F75" w:rsidR="00FB38FA" w:rsidRPr="00523D39" w:rsidRDefault="00381F63" w:rsidP="00B5000E">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B38FA" w:rsidRPr="003E2B6C" w:rsidRDefault="00746049" w:rsidP="003E2B6C">
            <w:pPr>
              <w:rPr>
                <w:rFonts w:ascii="Cambria" w:hAnsi="Cambria"/>
                <w:b/>
                <w:bCs/>
                <w:sz w:val="20"/>
                <w:szCs w:val="20"/>
              </w:rPr>
            </w:pPr>
            <w:r w:rsidRPr="003E2B6C">
              <w:rPr>
                <w:rFonts w:ascii="Cambria" w:hAnsi="Cambria"/>
                <w:b/>
                <w:bCs/>
                <w:sz w:val="20"/>
                <w:szCs w:val="20"/>
              </w:rPr>
              <w:t>Based on the curriculum for this week, which skill</w:t>
            </w:r>
            <w:r w:rsidR="0085055D" w:rsidRPr="003E2B6C">
              <w:rPr>
                <w:rFonts w:ascii="Cambria" w:hAnsi="Cambria"/>
                <w:b/>
                <w:bCs/>
                <w:sz w:val="20"/>
                <w:szCs w:val="20"/>
              </w:rPr>
              <w:t>(</w:t>
            </w:r>
            <w:r w:rsidRPr="003E2B6C">
              <w:rPr>
                <w:rFonts w:ascii="Cambria" w:hAnsi="Cambria"/>
                <w:b/>
                <w:bCs/>
                <w:sz w:val="20"/>
                <w:szCs w:val="20"/>
              </w:rPr>
              <w:t>s</w:t>
            </w:r>
            <w:r w:rsidR="0085055D" w:rsidRPr="003E2B6C">
              <w:rPr>
                <w:rFonts w:ascii="Cambria" w:hAnsi="Cambria"/>
                <w:b/>
                <w:bCs/>
                <w:sz w:val="20"/>
                <w:szCs w:val="20"/>
              </w:rPr>
              <w:t>)</w:t>
            </w:r>
            <w:r w:rsidRPr="003E2B6C">
              <w:rPr>
                <w:rFonts w:ascii="Cambria" w:hAnsi="Cambria"/>
                <w:b/>
                <w:bCs/>
                <w:sz w:val="20"/>
                <w:szCs w:val="20"/>
              </w:rPr>
              <w:t xml:space="preserve"> need</w:t>
            </w:r>
            <w:r w:rsidR="0085055D" w:rsidRPr="003E2B6C">
              <w:rPr>
                <w:rFonts w:ascii="Cambria" w:hAnsi="Cambria"/>
                <w:b/>
                <w:bCs/>
                <w:sz w:val="20"/>
                <w:szCs w:val="20"/>
              </w:rPr>
              <w:t>(s)</w:t>
            </w:r>
            <w:r w:rsidRPr="003E2B6C">
              <w:rPr>
                <w:rFonts w:ascii="Cambria" w:hAnsi="Cambria"/>
                <w:b/>
                <w:bCs/>
                <w:sz w:val="20"/>
                <w:szCs w:val="20"/>
              </w:rPr>
              <w:t xml:space="preserve">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B38FA" w:rsidRPr="003E2B6C" w:rsidRDefault="00746049" w:rsidP="003E2B6C">
            <w:pPr>
              <w:rPr>
                <w:rFonts w:ascii="Cambria" w:hAnsi="Cambria"/>
                <w:b/>
                <w:bCs/>
                <w:color w:val="201F1E"/>
                <w:sz w:val="20"/>
                <w:szCs w:val="20"/>
              </w:rPr>
            </w:pPr>
            <w:r w:rsidRPr="003E2B6C">
              <w:rPr>
                <w:rFonts w:ascii="Cambria" w:hAnsi="Cambria"/>
                <w:b/>
                <w:bCs/>
                <w:color w:val="201F1E"/>
                <w:sz w:val="20"/>
                <w:szCs w:val="20"/>
              </w:rPr>
              <w:t xml:space="preserve">How, where, </w:t>
            </w:r>
            <w:r w:rsidR="0085055D" w:rsidRPr="003E2B6C">
              <w:rPr>
                <w:rFonts w:ascii="Cambria" w:hAnsi="Cambria"/>
                <w:b/>
                <w:bCs/>
                <w:color w:val="201F1E"/>
                <w:sz w:val="20"/>
                <w:szCs w:val="20"/>
              </w:rPr>
              <w:t xml:space="preserve">and/or </w:t>
            </w:r>
            <w:r w:rsidRPr="003E2B6C">
              <w:rPr>
                <w:rFonts w:ascii="Cambria" w:hAnsi="Cambria"/>
                <w:b/>
                <w:bCs/>
                <w:color w:val="201F1E"/>
                <w:sz w:val="20"/>
                <w:szCs w:val="20"/>
              </w:rPr>
              <w:t>when could the trainee observe, practice and/or receive feedback on these skills?</w:t>
            </w:r>
          </w:p>
        </w:tc>
      </w:tr>
      <w:tr w:rsidR="00FB38FA"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B38FA" w:rsidRPr="00523D39" w:rsidRDefault="00FB38FA" w:rsidP="00B5000E">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1428014C"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r w:rsidR="00474CE8">
              <w:rPr>
                <w:rFonts w:ascii="Cambria" w:hAnsi="Cambria" w:cs="Arial"/>
                <w:b/>
                <w:bCs/>
                <w:sz w:val="20"/>
                <w:szCs w:val="20"/>
              </w:rPr>
              <w:t xml:space="preserve"> and has demonstrated appropriate professional behaviours</w:t>
            </w:r>
            <w:r w:rsidR="00132F3C" w:rsidRPr="00F83C7A">
              <w:rPr>
                <w:rFonts w:ascii="Cambria" w:hAnsi="Cambria" w:cs="Arial"/>
                <w:b/>
                <w:bCs/>
                <w:sz w:val="20"/>
                <w:szCs w:val="20"/>
              </w:rPr>
              <w:t>.</w:t>
            </w:r>
          </w:p>
          <w:p w14:paraId="015224A5" w14:textId="673E4106"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but th</w:t>
            </w:r>
            <w:r w:rsidR="00C0716F">
              <w:rPr>
                <w:rFonts w:ascii="Cambria" w:hAnsi="Cambria" w:cs="Arial"/>
                <w:b/>
                <w:bCs/>
                <w:sz w:val="20"/>
                <w:szCs w:val="20"/>
              </w:rPr>
              <w:t>ey</w:t>
            </w:r>
            <w:r w:rsidR="0036642F" w:rsidRPr="00F83C7A">
              <w:rPr>
                <w:rFonts w:ascii="Cambria" w:hAnsi="Cambria" w:cs="Arial"/>
                <w:b/>
                <w:bCs/>
                <w:sz w:val="20"/>
                <w:szCs w:val="20"/>
              </w:rPr>
              <w:t xml:space="preserve"> </w:t>
            </w:r>
            <w:r w:rsidR="004933A3" w:rsidRPr="00F83C7A">
              <w:rPr>
                <w:rFonts w:ascii="Cambria" w:hAnsi="Cambria" w:cs="Arial"/>
                <w:b/>
                <w:bCs/>
                <w:sz w:val="20"/>
                <w:szCs w:val="20"/>
              </w:rPr>
              <w:t>ha</w:t>
            </w:r>
            <w:r w:rsidR="00C0716F">
              <w:rPr>
                <w:rFonts w:ascii="Cambria" w:hAnsi="Cambria" w:cs="Arial"/>
                <w:b/>
                <w:bCs/>
                <w:sz w:val="20"/>
                <w:szCs w:val="20"/>
              </w:rPr>
              <w:t>ve</w:t>
            </w:r>
            <w:r w:rsidR="004933A3" w:rsidRPr="00F83C7A">
              <w:rPr>
                <w:rFonts w:ascii="Cambria" w:hAnsi="Cambria" w:cs="Arial"/>
                <w:b/>
                <w:bCs/>
                <w:sz w:val="20"/>
                <w:szCs w:val="20"/>
              </w:rPr>
              <w:t xml:space="preserve">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2824F587"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is not making sufficient progress through the curriculum</w:t>
            </w:r>
            <w:r w:rsidR="00474CE8">
              <w:rPr>
                <w:rFonts w:ascii="Cambria" w:hAnsi="Cambria" w:cs="Arial"/>
                <w:b/>
                <w:bCs/>
                <w:sz w:val="20"/>
                <w:szCs w:val="20"/>
              </w:rPr>
              <w:t xml:space="preserve"> and/or has not displayed the appropriate professional behaviours</w:t>
            </w:r>
            <w:r w:rsidR="00164C19" w:rsidRPr="00F83C7A">
              <w:rPr>
                <w:rFonts w:ascii="Cambria" w:hAnsi="Cambria" w:cs="Arial"/>
                <w:b/>
                <w:bCs/>
                <w:sz w:val="20"/>
                <w:szCs w:val="20"/>
              </w:rPr>
              <w:t xml:space="preserve">.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3A8B" w14:textId="77777777" w:rsidR="005B49AB" w:rsidRDefault="005B49AB" w:rsidP="00BB0205">
      <w:pPr>
        <w:spacing w:after="0" w:line="240" w:lineRule="auto"/>
      </w:pPr>
      <w:r>
        <w:separator/>
      </w:r>
    </w:p>
  </w:endnote>
  <w:endnote w:type="continuationSeparator" w:id="0">
    <w:p w14:paraId="464ABE7C" w14:textId="77777777" w:rsidR="005B49AB" w:rsidRDefault="005B49AB"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11E7" w14:textId="77777777" w:rsidR="005B49AB" w:rsidRDefault="005B49AB" w:rsidP="00BB0205">
      <w:pPr>
        <w:spacing w:after="0" w:line="240" w:lineRule="auto"/>
      </w:pPr>
      <w:r>
        <w:separator/>
      </w:r>
    </w:p>
  </w:footnote>
  <w:footnote w:type="continuationSeparator" w:id="0">
    <w:p w14:paraId="7324FDD6" w14:textId="77777777" w:rsidR="005B49AB" w:rsidRDefault="005B49AB"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73B3"/>
    <w:rsid w:val="002077E7"/>
    <w:rsid w:val="002176C6"/>
    <w:rsid w:val="002402B7"/>
    <w:rsid w:val="00244BD5"/>
    <w:rsid w:val="00255D4F"/>
    <w:rsid w:val="00257C5E"/>
    <w:rsid w:val="00267F20"/>
    <w:rsid w:val="00275428"/>
    <w:rsid w:val="00275519"/>
    <w:rsid w:val="00284E41"/>
    <w:rsid w:val="002945B0"/>
    <w:rsid w:val="002D6840"/>
    <w:rsid w:val="002D71BC"/>
    <w:rsid w:val="002F0646"/>
    <w:rsid w:val="003324D5"/>
    <w:rsid w:val="00333FF9"/>
    <w:rsid w:val="00341E44"/>
    <w:rsid w:val="003433DA"/>
    <w:rsid w:val="003558A2"/>
    <w:rsid w:val="00360B99"/>
    <w:rsid w:val="00360FDF"/>
    <w:rsid w:val="00362E65"/>
    <w:rsid w:val="0036642F"/>
    <w:rsid w:val="00376E8F"/>
    <w:rsid w:val="00381F63"/>
    <w:rsid w:val="00387F4F"/>
    <w:rsid w:val="00393C9C"/>
    <w:rsid w:val="003C0614"/>
    <w:rsid w:val="003C1D2B"/>
    <w:rsid w:val="003E2B6C"/>
    <w:rsid w:val="003E4513"/>
    <w:rsid w:val="003E7131"/>
    <w:rsid w:val="003F0779"/>
    <w:rsid w:val="003F297E"/>
    <w:rsid w:val="004009A7"/>
    <w:rsid w:val="00402356"/>
    <w:rsid w:val="00403E3F"/>
    <w:rsid w:val="00446426"/>
    <w:rsid w:val="0044704A"/>
    <w:rsid w:val="0045001E"/>
    <w:rsid w:val="00451F49"/>
    <w:rsid w:val="00464034"/>
    <w:rsid w:val="00470596"/>
    <w:rsid w:val="00474CE8"/>
    <w:rsid w:val="00485777"/>
    <w:rsid w:val="004933A3"/>
    <w:rsid w:val="004A0E13"/>
    <w:rsid w:val="004B5455"/>
    <w:rsid w:val="004C3CDB"/>
    <w:rsid w:val="004F5A59"/>
    <w:rsid w:val="005031C0"/>
    <w:rsid w:val="005061DF"/>
    <w:rsid w:val="005074F9"/>
    <w:rsid w:val="005113AE"/>
    <w:rsid w:val="005120DA"/>
    <w:rsid w:val="00523D39"/>
    <w:rsid w:val="00532449"/>
    <w:rsid w:val="00542102"/>
    <w:rsid w:val="005502E1"/>
    <w:rsid w:val="005511A4"/>
    <w:rsid w:val="005532B5"/>
    <w:rsid w:val="00553CE4"/>
    <w:rsid w:val="00554743"/>
    <w:rsid w:val="00556F37"/>
    <w:rsid w:val="00560B2D"/>
    <w:rsid w:val="00560FE2"/>
    <w:rsid w:val="0057496A"/>
    <w:rsid w:val="005775AE"/>
    <w:rsid w:val="00580D88"/>
    <w:rsid w:val="00581390"/>
    <w:rsid w:val="00586ACC"/>
    <w:rsid w:val="005A5BE2"/>
    <w:rsid w:val="005A6715"/>
    <w:rsid w:val="005B49AB"/>
    <w:rsid w:val="005B4FD8"/>
    <w:rsid w:val="005B548F"/>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97DAE"/>
    <w:rsid w:val="006A2DCB"/>
    <w:rsid w:val="006A777B"/>
    <w:rsid w:val="006B15D7"/>
    <w:rsid w:val="006B3909"/>
    <w:rsid w:val="006C0609"/>
    <w:rsid w:val="006D0810"/>
    <w:rsid w:val="006D52FD"/>
    <w:rsid w:val="006E789E"/>
    <w:rsid w:val="00703A42"/>
    <w:rsid w:val="007052C0"/>
    <w:rsid w:val="0071620C"/>
    <w:rsid w:val="00723015"/>
    <w:rsid w:val="00726BDF"/>
    <w:rsid w:val="00745BFC"/>
    <w:rsid w:val="00746049"/>
    <w:rsid w:val="0075782C"/>
    <w:rsid w:val="00760D48"/>
    <w:rsid w:val="00775637"/>
    <w:rsid w:val="007904BD"/>
    <w:rsid w:val="007A010F"/>
    <w:rsid w:val="007A0516"/>
    <w:rsid w:val="007B1A2C"/>
    <w:rsid w:val="007B4199"/>
    <w:rsid w:val="007C2932"/>
    <w:rsid w:val="007C66A6"/>
    <w:rsid w:val="007D2AA4"/>
    <w:rsid w:val="007E2240"/>
    <w:rsid w:val="00800444"/>
    <w:rsid w:val="008151B0"/>
    <w:rsid w:val="008235B7"/>
    <w:rsid w:val="0085055D"/>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148"/>
    <w:rsid w:val="008E45A2"/>
    <w:rsid w:val="008E4B82"/>
    <w:rsid w:val="008F03E0"/>
    <w:rsid w:val="00904801"/>
    <w:rsid w:val="00904A05"/>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15C1"/>
    <w:rsid w:val="00AC52AF"/>
    <w:rsid w:val="00AD1D6C"/>
    <w:rsid w:val="00AD2305"/>
    <w:rsid w:val="00AE0D6F"/>
    <w:rsid w:val="00AE47A3"/>
    <w:rsid w:val="00AE5D12"/>
    <w:rsid w:val="00B109B2"/>
    <w:rsid w:val="00B5000E"/>
    <w:rsid w:val="00B61B97"/>
    <w:rsid w:val="00B71FAE"/>
    <w:rsid w:val="00B75F73"/>
    <w:rsid w:val="00B8188E"/>
    <w:rsid w:val="00B91A31"/>
    <w:rsid w:val="00BA06A2"/>
    <w:rsid w:val="00BA12BC"/>
    <w:rsid w:val="00BA3E39"/>
    <w:rsid w:val="00BB0205"/>
    <w:rsid w:val="00BC2D67"/>
    <w:rsid w:val="00BF017F"/>
    <w:rsid w:val="00BF1357"/>
    <w:rsid w:val="00BF69C3"/>
    <w:rsid w:val="00BF6FA3"/>
    <w:rsid w:val="00C0716F"/>
    <w:rsid w:val="00C15D55"/>
    <w:rsid w:val="00C50B1D"/>
    <w:rsid w:val="00C60438"/>
    <w:rsid w:val="00C663BC"/>
    <w:rsid w:val="00C67B8B"/>
    <w:rsid w:val="00C714FE"/>
    <w:rsid w:val="00C76D95"/>
    <w:rsid w:val="00C80793"/>
    <w:rsid w:val="00C82FE6"/>
    <w:rsid w:val="00C87730"/>
    <w:rsid w:val="00C93F96"/>
    <w:rsid w:val="00C95C29"/>
    <w:rsid w:val="00C97785"/>
    <w:rsid w:val="00CA07FC"/>
    <w:rsid w:val="00CB44DE"/>
    <w:rsid w:val="00CC5EA8"/>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EF50F0"/>
    <w:rsid w:val="00F07217"/>
    <w:rsid w:val="00F27212"/>
    <w:rsid w:val="00F45E23"/>
    <w:rsid w:val="00F47EC2"/>
    <w:rsid w:val="00F54737"/>
    <w:rsid w:val="00F55928"/>
    <w:rsid w:val="00F5767B"/>
    <w:rsid w:val="00F6789C"/>
    <w:rsid w:val="00F77DFE"/>
    <w:rsid w:val="00F80424"/>
    <w:rsid w:val="00F81686"/>
    <w:rsid w:val="00F82C86"/>
    <w:rsid w:val="00F83B94"/>
    <w:rsid w:val="00F83C7A"/>
    <w:rsid w:val="00F83EAA"/>
    <w:rsid w:val="00FB38FA"/>
    <w:rsid w:val="00FB5206"/>
    <w:rsid w:val="00FB5D21"/>
    <w:rsid w:val="00FC0E49"/>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6971">
      <w:bodyDiv w:val="1"/>
      <w:marLeft w:val="0"/>
      <w:marRight w:val="0"/>
      <w:marTop w:val="0"/>
      <w:marBottom w:val="0"/>
      <w:divBdr>
        <w:top w:val="none" w:sz="0" w:space="0" w:color="auto"/>
        <w:left w:val="none" w:sz="0" w:space="0" w:color="auto"/>
        <w:bottom w:val="none" w:sz="0" w:space="0" w:color="auto"/>
        <w:right w:val="none" w:sz="0" w:space="0" w:color="auto"/>
      </w:divBdr>
    </w:div>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16460982">
      <w:bodyDiv w:val="1"/>
      <w:marLeft w:val="0"/>
      <w:marRight w:val="0"/>
      <w:marTop w:val="0"/>
      <w:marBottom w:val="0"/>
      <w:divBdr>
        <w:top w:val="none" w:sz="0" w:space="0" w:color="auto"/>
        <w:left w:val="none" w:sz="0" w:space="0" w:color="auto"/>
        <w:bottom w:val="none" w:sz="0" w:space="0" w:color="auto"/>
        <w:right w:val="none" w:sz="0" w:space="0" w:color="auto"/>
      </w:divBdr>
    </w:div>
    <w:div w:id="432865664">
      <w:bodyDiv w:val="1"/>
      <w:marLeft w:val="0"/>
      <w:marRight w:val="0"/>
      <w:marTop w:val="0"/>
      <w:marBottom w:val="0"/>
      <w:divBdr>
        <w:top w:val="none" w:sz="0" w:space="0" w:color="auto"/>
        <w:left w:val="none" w:sz="0" w:space="0" w:color="auto"/>
        <w:bottom w:val="none" w:sz="0" w:space="0" w:color="auto"/>
        <w:right w:val="none" w:sz="0" w:space="0" w:color="auto"/>
      </w:divBdr>
    </w:div>
    <w:div w:id="119684792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foundation.co.uk/professional-development/safeguarding-prev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mentorin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Ailz McHaleBailey</cp:lastModifiedBy>
  <cp:revision>4</cp:revision>
  <cp:lastPrinted>2023-05-18T14:08:00Z</cp:lastPrinted>
  <dcterms:created xsi:type="dcterms:W3CDTF">2024-10-04T09:56:00Z</dcterms:created>
  <dcterms:modified xsi:type="dcterms:W3CDTF">2024-10-04T09:58:00Z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