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83" w:type="dxa"/>
        <w:tblInd w:w="-436" w:type="dxa"/>
        <w:tblCellMar>
          <w:top w:w="145" w:type="dxa"/>
          <w:left w:w="98" w:type="dxa"/>
          <w:right w:w="68" w:type="dxa"/>
        </w:tblCellMar>
        <w:tblLook w:val="04A0" w:firstRow="1" w:lastRow="0" w:firstColumn="1" w:lastColumn="0" w:noHBand="0" w:noVBand="1"/>
      </w:tblPr>
      <w:tblGrid>
        <w:gridCol w:w="1883"/>
        <w:gridCol w:w="897"/>
        <w:gridCol w:w="1680"/>
        <w:gridCol w:w="1127"/>
        <w:gridCol w:w="556"/>
        <w:gridCol w:w="516"/>
        <w:gridCol w:w="1199"/>
        <w:gridCol w:w="575"/>
        <w:gridCol w:w="1118"/>
        <w:gridCol w:w="1229"/>
        <w:gridCol w:w="703"/>
      </w:tblGrid>
      <w:tr w:rsidR="00BB0205" w:rsidRPr="00F07217" w14:paraId="31D4C3CB" w14:textId="77777777" w:rsidTr="00697DAE">
        <w:trPr>
          <w:trHeight w:val="68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F0115FB" w14:textId="430EDED1" w:rsidR="00BB0205" w:rsidRDefault="00BB02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bookmarkStart w:id="0" w:name="_Hlk86825635"/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Welcome to the mentor </w:t>
            </w:r>
            <w:r w:rsidR="00FE47C3" w:rsidRPr="00333FF9">
              <w:rPr>
                <w:rFonts w:ascii="Cambria" w:eastAsia="Georgia" w:hAnsi="Cambria" w:cs="Georgia"/>
                <w:b/>
                <w:color w:val="000000" w:themeColor="text1"/>
              </w:rPr>
              <w:t>Weekly Development Summary</w:t>
            </w:r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from the Department of Secondary and Further Education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(AY 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4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/2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5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)</w:t>
            </w:r>
          </w:p>
          <w:p w14:paraId="56DFBFB0" w14:textId="77777777" w:rsidR="00904A05" w:rsidRDefault="00904A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</w:p>
          <w:p w14:paraId="0017CD7A" w14:textId="2C326FED" w:rsidR="00904A05" w:rsidRDefault="00904A05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‘Working creatively with others to enhance life chances’</w:t>
            </w:r>
          </w:p>
          <w:p w14:paraId="6F99C480" w14:textId="77777777" w:rsidR="001351A6" w:rsidRDefault="001351A6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D6B2DDB" w14:textId="33CAFF3B" w:rsidR="001351A6" w:rsidRPr="00333FF9" w:rsidRDefault="001351A6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r w:rsidRPr="0014173F">
              <w:rPr>
                <w:rFonts w:ascii="Cambria" w:hAnsi="Cambria"/>
                <w:b/>
                <w:bCs/>
                <w:sz w:val="24"/>
                <w:szCs w:val="24"/>
              </w:rPr>
              <w:t>This form should be completed by the mentor during the Weekly Mentor Meeting.</w:t>
            </w:r>
          </w:p>
          <w:p w14:paraId="2E8EA821" w14:textId="5ADFB77C" w:rsidR="006102D0" w:rsidRPr="00523D39" w:rsidRDefault="006102D0" w:rsidP="001E17E8">
            <w:pPr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</w:tr>
      <w:tr w:rsidR="004009A7" w:rsidRPr="00F07217" w14:paraId="06170D5F" w14:textId="77777777" w:rsidTr="00697DAE">
        <w:trPr>
          <w:trHeight w:val="126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CD2C8F6" w14:textId="5D848E3C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trainee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CE3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41C29F0" w14:textId="3FCFA465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Trainee ID no.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FA60" w14:textId="3FE2047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7196D986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449CC42" w14:textId="1934EA31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mentor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972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0FFB993F" w14:textId="02556042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Professional Practice phase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386" w14:textId="19E25E2F" w:rsidR="004009A7" w:rsidRPr="00523D39" w:rsidRDefault="001A273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CONSOLIDATION </w:t>
            </w:r>
          </w:p>
        </w:tc>
      </w:tr>
      <w:tr w:rsidR="004009A7" w:rsidRPr="00F07217" w14:paraId="4FBA03EC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AC0749B" w14:textId="5072B3E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Link Tutor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1AB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51F684" w14:textId="4EB0854D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setting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CE9C" w14:textId="006C6DE4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4FA3BD1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D91E0C7" w14:textId="6003342C" w:rsidR="004009A7" w:rsidRPr="00523D39" w:rsidRDefault="00904A05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CC5" w14:textId="1CCD7C16" w:rsidR="004009A7" w:rsidRPr="00523D39" w:rsidRDefault="005074F9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PGDIT in Further Education and Skills 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6B60088" w14:textId="446E06CE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Week </w:t>
            </w:r>
            <w:r w:rsidR="001E17E8">
              <w:rPr>
                <w:rFonts w:ascii="Cambria" w:hAnsi="Cambri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58FD" w14:textId="063AEF56" w:rsidR="004009A7" w:rsidRPr="00523D39" w:rsidRDefault="001A273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31</w:t>
            </w:r>
          </w:p>
        </w:tc>
      </w:tr>
      <w:tr w:rsidR="00381F63" w:rsidRPr="00F07217" w14:paraId="25B9C3C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EF7721D" w14:textId="710BC591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Days trainee has attended this week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213D" w14:textId="596149F4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  <w:r w:rsidR="005113AE" w:rsidRPr="00523D39">
              <w:rPr>
                <w:rFonts w:ascii="Cambria" w:hAnsi="Cambria"/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042" w14:textId="5CF285E3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6611" w14:textId="7F56CFAC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C98" w14:textId="6FCE8062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9360" w14:textId="12ADC1A0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</w:tc>
      </w:tr>
      <w:tr w:rsidR="00F005D6" w:rsidRPr="00F07217" w14:paraId="0EB57F5F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11731FE" w14:textId="250F6EA0" w:rsidR="00F005D6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Key reading for the week</w:t>
            </w:r>
          </w:p>
          <w:p w14:paraId="14013C1B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E67F24B" w14:textId="11E5B01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A0715D" wp14:editId="2D29D9EC">
                  <wp:extent cx="633730" cy="63373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2247" w14:textId="77A020AA" w:rsidR="00EA5E95" w:rsidRPr="00EA5E95" w:rsidRDefault="00F005D6" w:rsidP="00DE15B2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5074F9">
              <w:rPr>
                <w:rFonts w:ascii="Cambria" w:hAnsi="Cambria" w:cstheme="minorHAnsi"/>
                <w:b/>
                <w:bCs/>
                <w:sz w:val="24"/>
                <w:szCs w:val="24"/>
              </w:rPr>
              <w:t>Summary</w:t>
            </w:r>
            <w:r w:rsidR="00DE15B2">
              <w:rPr>
                <w:rFonts w:ascii="Cambria" w:hAnsi="Cambria" w:cstheme="minorHAnsi"/>
                <w:b/>
                <w:bCs/>
                <w:sz w:val="24"/>
                <w:szCs w:val="24"/>
              </w:rPr>
              <w:t>:</w:t>
            </w:r>
            <w:r w:rsidR="001D76B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38F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This link looks at the history of education within the last century. </w:t>
            </w:r>
            <w:r w:rsidR="00860CBF" w:rsidRPr="00860CB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Here is a timeline of all the events that have transformed the educational landscape </w:t>
            </w:r>
            <w:r w:rsidR="00A238F8">
              <w:rPr>
                <w:rFonts w:ascii="Cambria" w:hAnsi="Cambria" w:cstheme="minorHAnsi"/>
                <w:b/>
                <w:bCs/>
                <w:sz w:val="24"/>
                <w:szCs w:val="24"/>
              </w:rPr>
              <w:t>from 1910</w:t>
            </w:r>
            <w:r w:rsidR="00860CBF" w:rsidRPr="00860CB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38F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 2015. </w:t>
            </w:r>
          </w:p>
          <w:p w14:paraId="07ABFD12" w14:textId="3571158F" w:rsidR="00A238F8" w:rsidRPr="00A238F8" w:rsidRDefault="00EA5E95" w:rsidP="00A238F8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DD6235" w:rsidRPr="003D5B21">
              <w:rPr>
                <w:rFonts w:ascii="Cambria" w:hAnsi="Cambria" w:cstheme="minorHAnsi"/>
                <w:b/>
                <w:bCs/>
                <w:sz w:val="24"/>
                <w:szCs w:val="24"/>
              </w:rPr>
              <w:t>imitations</w:t>
            </w:r>
            <w:r w:rsidR="003D5B21" w:rsidRPr="00A238F8">
              <w:rPr>
                <w:rFonts w:ascii="Cambria" w:hAnsi="Cambria" w:cstheme="minorHAnsi"/>
                <w:b/>
                <w:bCs/>
              </w:rPr>
              <w:t xml:space="preserve">: </w:t>
            </w:r>
            <w:r w:rsidR="00A238F8" w:rsidRPr="00A238F8">
              <w:rPr>
                <w:rFonts w:ascii="Cambria" w:hAnsi="Cambria" w:cstheme="minorHAnsi"/>
              </w:rPr>
              <w:t xml:space="preserve">It does not discuss or share the political landscape within Education since 2015 of which many changes have occurred which include </w:t>
            </w:r>
            <w:r w:rsidR="00A238F8" w:rsidRPr="00A238F8">
              <w:rPr>
                <w:rFonts w:ascii="Cambria" w:hAnsi="Cambria" w:cstheme="minorHAnsi"/>
                <w:b/>
                <w:bCs/>
              </w:rPr>
              <w:t>Curriculum and Assessment Reforms</w:t>
            </w:r>
            <w:r w:rsidR="00A238F8">
              <w:rPr>
                <w:rFonts w:ascii="Cambria" w:hAnsi="Cambria" w:cstheme="minorHAnsi"/>
              </w:rPr>
              <w:t xml:space="preserve"> -</w:t>
            </w:r>
            <w:r w:rsidR="00A238F8" w:rsidRPr="00A238F8">
              <w:rPr>
                <w:rFonts w:ascii="Cambria" w:hAnsi="Cambria" w:cstheme="minorHAnsi"/>
              </w:rPr>
              <w:t xml:space="preserve"> </w:t>
            </w:r>
            <w:r w:rsidR="00A238F8" w:rsidRPr="00A238F8">
              <w:rPr>
                <w:rFonts w:ascii="Cambria" w:hAnsi="Cambria" w:cstheme="minorHAnsi"/>
                <w:b/>
                <w:bCs/>
              </w:rPr>
              <w:t>GCSE and A-Level Overhaul:</w:t>
            </w:r>
            <w:r w:rsidR="00A238F8" w:rsidRPr="00A238F8">
              <w:rPr>
                <w:rFonts w:ascii="Cambria" w:hAnsi="Cambria" w:cstheme="minorHAnsi"/>
              </w:rPr>
              <w:t xml:space="preserve"> Starting in 2015, England introduced revised GCSE and A-Level programs. The new GCSEs moved away from coursework, </w:t>
            </w:r>
            <w:r w:rsidR="00A238F8" w:rsidRPr="00A238F8">
              <w:rPr>
                <w:rFonts w:ascii="Cambria" w:hAnsi="Cambria" w:cstheme="minorHAnsi"/>
              </w:rPr>
              <w:t>favouring</w:t>
            </w:r>
            <w:r w:rsidR="00A238F8" w:rsidRPr="00A238F8">
              <w:rPr>
                <w:rFonts w:ascii="Cambria" w:hAnsi="Cambria" w:cstheme="minorHAnsi"/>
              </w:rPr>
              <w:t xml:space="preserve"> end-of-course exams, and adopted a 9–1 grading scale to allow greater differentiation among top performers. The first cohort under this system sat their exams in 2017. </w:t>
            </w:r>
            <w:r w:rsidR="00A238F8" w:rsidRPr="00A238F8">
              <w:rPr>
                <w:rFonts w:ascii="Cambria" w:hAnsi="Cambria" w:cstheme="minorHAnsi"/>
                <w:b/>
                <w:bCs/>
              </w:rPr>
              <w:t>English Baccalaureate (EBacc) Emphasis</w:t>
            </w:r>
            <w:r w:rsidR="00A238F8" w:rsidRPr="00A238F8">
              <w:rPr>
                <w:rFonts w:ascii="Cambria" w:hAnsi="Cambria" w:cstheme="minorHAnsi"/>
              </w:rPr>
              <w:t xml:space="preserve">: The government increased its focus on the EBacc, a performance measure for schools based on students achieving good GCSE grades in core academic subjects. In 2017, the Department for Education set targets for 75% of Year 10 students to be studying EBacc subjects by 2022, aiming for 90% by 2025. </w:t>
            </w:r>
          </w:p>
          <w:p w14:paraId="154B0A76" w14:textId="679E0FBD" w:rsidR="00A238F8" w:rsidRPr="00A238F8" w:rsidRDefault="00A238F8" w:rsidP="00A238F8">
            <w:pPr>
              <w:jc w:val="both"/>
              <w:rPr>
                <w:rFonts w:ascii="Cambria" w:hAnsi="Cambria" w:cstheme="minorHAnsi"/>
              </w:rPr>
            </w:pPr>
            <w:r w:rsidRPr="00A238F8">
              <w:rPr>
                <w:rFonts w:ascii="Cambria" w:hAnsi="Cambria" w:cstheme="minorHAnsi"/>
                <w:b/>
                <w:bCs/>
              </w:rPr>
              <w:t>Structural and Policy Changes</w:t>
            </w:r>
            <w:r w:rsidRPr="00A238F8">
              <w:rPr>
                <w:rFonts w:ascii="Cambria" w:hAnsi="Cambria" w:cstheme="minorHAnsi"/>
                <w:b/>
                <w:bCs/>
              </w:rPr>
              <w:t xml:space="preserve"> </w:t>
            </w:r>
            <w:r w:rsidRPr="00A238F8">
              <w:rPr>
                <w:rFonts w:ascii="Cambria" w:hAnsi="Cambria" w:cstheme="minorHAnsi"/>
                <w:b/>
                <w:bCs/>
              </w:rPr>
              <w:t>Expansion of Academies</w:t>
            </w:r>
            <w:r w:rsidRPr="00A238F8">
              <w:rPr>
                <w:rFonts w:ascii="Cambria" w:hAnsi="Cambria" w:cstheme="minorHAnsi"/>
              </w:rPr>
              <w:t>: The Education and Adoption Act 2016 granted the government new powers to convert underperforming schools into academies, aiming to improve educational outcomes through increased autonomy</w:t>
            </w:r>
            <w:r w:rsidRPr="00A238F8">
              <w:rPr>
                <w:rFonts w:ascii="Cambria" w:hAnsi="Cambria" w:cstheme="minorHAnsi"/>
                <w:b/>
                <w:bCs/>
              </w:rPr>
              <w:t>. Apprenticeship Reforms:</w:t>
            </w:r>
            <w:r w:rsidRPr="00A238F8">
              <w:rPr>
                <w:rFonts w:ascii="Cambria" w:hAnsi="Cambria" w:cstheme="minorHAnsi"/>
              </w:rPr>
              <w:t xml:space="preserve"> There has been a notable increase in higher-level apprenticeships (Levels 6 and 7, equivalent to bachelor's and master's degrees). In the three months leading up to October 2024, 25,490 individuals started such program</w:t>
            </w:r>
            <w:r>
              <w:rPr>
                <w:rFonts w:ascii="Cambria" w:hAnsi="Cambria" w:cstheme="minorHAnsi"/>
              </w:rPr>
              <w:t>me</w:t>
            </w:r>
            <w:r w:rsidRPr="00A238F8">
              <w:rPr>
                <w:rFonts w:ascii="Cambria" w:hAnsi="Cambria" w:cstheme="minorHAnsi"/>
              </w:rPr>
              <w:t xml:space="preserve">s, marking an 11% increase from the previous year. This surge precedes planned government changes to apprenticeship funding, which may restrict levy funds for Level 7 apprenticeships to encourage investment in lower-level training. </w:t>
            </w:r>
            <w:r w:rsidRPr="00A238F8">
              <w:rPr>
                <w:rFonts w:ascii="Cambria" w:hAnsi="Cambria" w:cstheme="minorHAnsi"/>
                <w:b/>
                <w:bCs/>
              </w:rPr>
              <w:t>Narrowing Subject Choice</w:t>
            </w:r>
            <w:r w:rsidRPr="00A238F8">
              <w:rPr>
                <w:rFonts w:ascii="Cambria" w:hAnsi="Cambria" w:cstheme="minorHAnsi"/>
              </w:rPr>
              <w:t xml:space="preserve">s: Following A-Level reforms, there has been a decline in students taking a combination of humanities and science subjects, leading to concerns about a narrowing of the curriculum. By 2021–22, only 38% of students took at least one humanities course, down from over half before 2015. </w:t>
            </w:r>
          </w:p>
          <w:p w14:paraId="6071F449" w14:textId="254C59A0" w:rsidR="00F005D6" w:rsidRPr="00927143" w:rsidRDefault="00F005D6" w:rsidP="001A273A">
            <w:pPr>
              <w:jc w:val="both"/>
              <w:rPr>
                <w:color w:val="000000" w:themeColor="text1"/>
              </w:rPr>
            </w:pPr>
            <w:r w:rsidRPr="005074F9">
              <w:rPr>
                <w:rFonts w:ascii="Cambria" w:hAnsi="Cambria" w:cstheme="minorHAnsi"/>
                <w:b/>
                <w:bCs/>
                <w:sz w:val="24"/>
                <w:szCs w:val="24"/>
              </w:rPr>
              <w:t>Reference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754322">
              <w:t xml:space="preserve"> </w:t>
            </w:r>
            <w:r w:rsidR="001A273A">
              <w:rPr>
                <w:sz w:val="27"/>
                <w:szCs w:val="27"/>
              </w:rPr>
              <w:t xml:space="preserve">A History of Education: </w:t>
            </w:r>
            <w:hyperlink r:id="rId11" w:history="1">
              <w:r w:rsidR="001A273A" w:rsidRPr="001A273A">
                <w:rPr>
                  <w:color w:val="0000FF"/>
                  <w:u w:val="single"/>
                </w:rPr>
                <w:t>Timeline: A h</w:t>
              </w:r>
              <w:r w:rsidR="001A273A" w:rsidRPr="001A273A">
                <w:rPr>
                  <w:color w:val="0000FF"/>
                  <w:u w:val="single"/>
                </w:rPr>
                <w:t>i</w:t>
              </w:r>
              <w:r w:rsidR="001A273A" w:rsidRPr="001A273A">
                <w:rPr>
                  <w:color w:val="0000FF"/>
                  <w:u w:val="single"/>
                </w:rPr>
                <w:t xml:space="preserve">story of education | </w:t>
              </w:r>
              <w:proofErr w:type="spellStart"/>
              <w:r w:rsidR="001A273A" w:rsidRPr="001A273A">
                <w:rPr>
                  <w:color w:val="0000FF"/>
                  <w:u w:val="single"/>
                </w:rPr>
                <w:t>Tes</w:t>
              </w:r>
              <w:proofErr w:type="spellEnd"/>
              <w:r w:rsidR="001A273A" w:rsidRPr="001A273A">
                <w:rPr>
                  <w:color w:val="0000FF"/>
                  <w:u w:val="single"/>
                </w:rPr>
                <w:t xml:space="preserve"> Magazine</w:t>
              </w:r>
            </w:hyperlink>
          </w:p>
        </w:tc>
      </w:tr>
      <w:tr w:rsidR="00F005D6" w:rsidRPr="00F07217" w14:paraId="0811EF35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0E114CD" w14:textId="5898ACE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Support for mentor</w:t>
            </w: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s with the curriculum focus</w:t>
            </w:r>
          </w:p>
          <w:p w14:paraId="25E7C69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314DB2E" w14:textId="289E22A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"https://lh7-us.googleusercontent.com/aafOPrViUxyy99iwWtJ4XH87ZXDpo5S7AbE1iQDk-3R_JKGmaorxMhQNocj7NPU3LT9VDKFjwDg7T_9vAWuXtrSVCTy4VY95bA2qSH2pAc5NpHvQCCEnioqfRprNDx-4B7IzCBN-AKLpqFBBUY_VjuOfJA=nw"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FB6A35" wp14:editId="290525C1">
                  <wp:extent cx="705600" cy="705600"/>
                  <wp:effectExtent l="0" t="0" r="0" b="5715"/>
                  <wp:docPr id="17626318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27" cy="71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8A91" w14:textId="77777777" w:rsidR="00DD6235" w:rsidRDefault="000047C9" w:rsidP="00DE15B2">
            <w:pPr>
              <w:pStyle w:val="xmsolistparagraph"/>
              <w:shd w:val="clear" w:color="auto" w:fill="FFFFFF"/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This bill looks at the skills in the Post 16 sector – written during the Conservative 2021 government  </w:t>
            </w:r>
            <w:hyperlink r:id="rId13" w:history="1">
              <w:r w:rsidRPr="000047C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Skills and Post-16 Education Bill: policy summary notes</w:t>
              </w:r>
            </w:hyperlink>
          </w:p>
          <w:p w14:paraId="02295E43" w14:textId="23AE6EF8" w:rsidR="000047C9" w:rsidRPr="00523D39" w:rsidRDefault="000047C9" w:rsidP="00DE15B2">
            <w:pPr>
              <w:pStyle w:val="xmsolistparagraph"/>
              <w:shd w:val="clear" w:color="auto" w:fill="FFFFFF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From the IFS this looks at the spending review in FE – Jan 2025 </w:t>
            </w:r>
            <w:hyperlink r:id="rId14" w:history="1">
              <w:r w:rsidRPr="000047C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Why 2025 is a critical year for FE funding | Institute for Fiscal Studies</w:t>
              </w:r>
            </w:hyperlink>
          </w:p>
        </w:tc>
      </w:tr>
      <w:tr w:rsidR="00F005D6" w:rsidRPr="00F07217" w14:paraId="242BC6CD" w14:textId="77777777" w:rsidTr="00697DAE">
        <w:trPr>
          <w:trHeight w:val="26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2257974" w14:textId="5325204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3B0429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4A60FE" w14:textId="12B12DE9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Curriculum for the week</w:t>
            </w:r>
          </w:p>
          <w:p w14:paraId="3577F80B" w14:textId="77777777" w:rsidR="00F005D6" w:rsidRPr="00523D39" w:rsidRDefault="00F005D6" w:rsidP="00F005D6">
            <w:pPr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sz w:val="20"/>
                <w:szCs w:val="20"/>
              </w:rPr>
              <w:t xml:space="preserve"> </w:t>
            </w:r>
          </w:p>
          <w:p w14:paraId="56739CEE" w14:textId="2D653E4C" w:rsidR="00F005D6" w:rsidRPr="00523D39" w:rsidRDefault="00F005D6" w:rsidP="00F005D6">
            <w:pPr>
              <w:tabs>
                <w:tab w:val="center" w:pos="106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A8E91B" wp14:editId="0E03A34D">
                  <wp:extent cx="543560" cy="54356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0ABAE5" w14:textId="3177A16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BF6678C" w14:textId="77777777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0E7E73C3" w14:textId="3E44AEE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75C24513" w14:textId="77777777" w:rsidTr="00697DAE">
        <w:trPr>
          <w:trHeight w:val="968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8A2880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AE5" w14:textId="00D67A65" w:rsidR="00C57274" w:rsidRPr="00C21EF0" w:rsidRDefault="001A273A" w:rsidP="00C21EF0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1A273A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1.The recent key developments in educational policies which have shaped Further Education. 2. How social/ government policies are interpreted into college wide policies and procedures.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AF" w14:textId="594AE825" w:rsidR="00F005D6" w:rsidRPr="00523D39" w:rsidRDefault="00F005D6" w:rsidP="00F005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365EFF71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9E4C71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AA9EA46" w14:textId="06BEEB12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 how to: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E1B72E3" w14:textId="61D2881E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18B6C2E1" w14:textId="115AA46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0B2BB01B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816228A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D80" w14:textId="77777777" w:rsidR="001A273A" w:rsidRDefault="001A273A" w:rsidP="001D76B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273A">
              <w:rPr>
                <w:rFonts w:ascii="Cambria" w:hAnsi="Cambria"/>
                <w:b/>
                <w:bCs/>
                <w:sz w:val="20"/>
                <w:szCs w:val="20"/>
              </w:rPr>
              <w:t>1. Demonstrate a clear understanding of a policy or social decision and the impact it has on their subject.</w:t>
            </w:r>
          </w:p>
          <w:p w14:paraId="3437E904" w14:textId="25D7912B" w:rsidR="00F005D6" w:rsidRPr="00523D39" w:rsidRDefault="001A273A" w:rsidP="001D76B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273A">
              <w:rPr>
                <w:rFonts w:ascii="Cambria" w:hAnsi="Cambria"/>
                <w:b/>
                <w:bCs/>
                <w:sz w:val="20"/>
                <w:szCs w:val="20"/>
              </w:rPr>
              <w:t>2.Understand the impact of educational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1A273A">
              <w:rPr>
                <w:rFonts w:ascii="Cambria" w:hAnsi="Cambria"/>
                <w:b/>
                <w:bCs/>
                <w:sz w:val="20"/>
                <w:szCs w:val="20"/>
              </w:rPr>
              <w:t>policies on their subject specialism, with particular focus on FE.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2F8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3CEA7B26" w14:textId="77777777" w:rsidTr="00697DAE">
        <w:trPr>
          <w:trHeight w:val="238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B69B659" w14:textId="2F7D5E40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Questions for mentor and trainee to discuss in mentor meeting       </w:t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BF38F4" wp14:editId="21E93A5A">
                  <wp:extent cx="715060" cy="715060"/>
                  <wp:effectExtent l="0" t="0" r="0" b="0"/>
                  <wp:docPr id="1005344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552" w14:textId="49B9D5C8" w:rsidR="001A273A" w:rsidRDefault="001A273A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1A273A">
              <w:rPr>
                <w:rFonts w:ascii="Cambria" w:hAnsi="Cambria"/>
                <w:b/>
                <w:bCs/>
                <w:sz w:val="20"/>
                <w:szCs w:val="20"/>
              </w:rPr>
              <w:t>1. Focusing on one aspect of social policy, how has it shaped your subject specialism?</w:t>
            </w:r>
          </w:p>
          <w:p w14:paraId="3481FEE6" w14:textId="59E8D53E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B3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67A566CD" w14:textId="77777777" w:rsidR="001A273A" w:rsidRDefault="001A273A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8F6F9A" w14:textId="5730816F" w:rsidR="00854F36" w:rsidRDefault="001A273A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273A">
              <w:rPr>
                <w:rFonts w:ascii="Cambria" w:hAnsi="Cambria"/>
                <w:b/>
                <w:bCs/>
                <w:sz w:val="20"/>
                <w:szCs w:val="20"/>
              </w:rPr>
              <w:t>2. Has the impact of this policy been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1A273A">
              <w:rPr>
                <w:rFonts w:ascii="Cambria" w:hAnsi="Cambria"/>
                <w:b/>
                <w:bCs/>
                <w:sz w:val="20"/>
                <w:szCs w:val="20"/>
              </w:rPr>
              <w:t>what was intended on your subject?</w:t>
            </w:r>
          </w:p>
          <w:p w14:paraId="2FCBDA67" w14:textId="4723E489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73F66D90" w14:textId="77777777" w:rsidR="001A273A" w:rsidRDefault="001A273A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5EB5B" w14:textId="6A2DDCBD" w:rsidR="001A273A" w:rsidRDefault="001A273A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273A">
              <w:rPr>
                <w:rFonts w:ascii="Cambria" w:hAnsi="Cambria"/>
                <w:b/>
                <w:bCs/>
                <w:sz w:val="20"/>
                <w:szCs w:val="20"/>
              </w:rPr>
              <w:t>3. In your opinion, what could be done which would have a greater impact on your subject specialism?</w:t>
            </w:r>
          </w:p>
          <w:p w14:paraId="214338D4" w14:textId="77777777" w:rsidR="001A273A" w:rsidRDefault="001A273A" w:rsidP="001A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2BF0E2B0" w14:textId="77777777" w:rsidR="001A273A" w:rsidRDefault="001A273A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4D7BAFD" w14:textId="77777777" w:rsidR="00C21EF0" w:rsidRDefault="00C21EF0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5E641A" w14:textId="0E5ADA6D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Q4: Has the trainee has demonstrated the appropriate professional behaviours required of those training to teach? Y/N </w:t>
            </w:r>
            <w:r w:rsidRPr="004B5455">
              <w:rPr>
                <w:rFonts w:ascii="Cambria" w:hAnsi="Cambria"/>
                <w:i/>
                <w:iCs/>
                <w:sz w:val="14"/>
                <w:szCs w:val="14"/>
              </w:rPr>
              <w:t>(if N, please provide details)</w:t>
            </w:r>
          </w:p>
          <w:p w14:paraId="11852BB5" w14:textId="27192A8F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69758A50" w14:textId="77777777" w:rsidTr="00697DAE">
        <w:trPr>
          <w:trHeight w:val="167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D3D2A77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Additional notes from mentor meeting</w:t>
            </w:r>
          </w:p>
          <w:p w14:paraId="788494D3" w14:textId="5B4EB0D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E43AEB" wp14:editId="72B53664">
                  <wp:extent cx="715060" cy="715060"/>
                  <wp:effectExtent l="0" t="0" r="0" b="0"/>
                  <wp:docPr id="95264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</w:p>
          <w:p w14:paraId="5B450E15" w14:textId="55099F9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587" w14:textId="44948548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</w:pPr>
            <w:r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>For example, review of subject knowledge, relevant CPD, arrangements for upcoming lesson observation, school/department events etc.</w:t>
            </w:r>
          </w:p>
          <w:p w14:paraId="399FF43D" w14:textId="77777777" w:rsidR="00F005D6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F3CABCF" w14:textId="55574633" w:rsidR="00667D8E" w:rsidRPr="00523D39" w:rsidRDefault="00667D8E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 </w:t>
            </w:r>
          </w:p>
          <w:p w14:paraId="0ED7F194" w14:textId="45A6050C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33A2A4D" w14:textId="1C9AE883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F005D6" w:rsidRPr="00F07217" w14:paraId="4D4EF814" w14:textId="77777777" w:rsidTr="00697DAE">
        <w:trPr>
          <w:trHeight w:val="60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9C4284E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Trainee workload and well-being</w:t>
            </w:r>
          </w:p>
          <w:p w14:paraId="2E8BDCEC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1E3F347B" w14:textId="607A2AA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D68013B" wp14:editId="4AB67D6F">
                  <wp:extent cx="607325" cy="607325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4" cy="6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46404A2" w14:textId="77777777" w:rsidR="00F005D6" w:rsidRPr="00ED360A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1390">
              <w:rPr>
                <w:rFonts w:ascii="Cambria" w:hAnsi="Cambria"/>
                <w:b/>
                <w:bCs/>
                <w:sz w:val="20"/>
                <w:szCs w:val="20"/>
              </w:rPr>
              <w:t>Have strategies for workload been discussed?</w:t>
            </w:r>
            <w:r w:rsidRPr="00ED36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9CD1FEE" w14:textId="26B106D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</w:tc>
      </w:tr>
      <w:tr w:rsidR="00F005D6" w:rsidRPr="00F07217" w14:paraId="4C9AB2A3" w14:textId="77777777" w:rsidTr="00697DAE">
        <w:trPr>
          <w:trHeight w:val="602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86FBCB0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720" w14:textId="3D481725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221DFBA4" w14:textId="77777777" w:rsidTr="00697DAE">
        <w:trPr>
          <w:trHeight w:val="60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FABDBA3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E6B3FBC" w14:textId="77777777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</w:rPr>
            </w:pPr>
            <w:r w:rsidRPr="003E2B6C">
              <w:rPr>
                <w:rFonts w:ascii="Cambria" w:hAnsi="Cambria"/>
                <w:b/>
                <w:bCs/>
              </w:rPr>
              <w:t>Has the trainee’s wellbeing been discussed?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F15CB1E" w14:textId="681316B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</w:tr>
      <w:tr w:rsidR="00F005D6" w:rsidRPr="00F07217" w14:paraId="3DA04B76" w14:textId="77777777" w:rsidTr="00697DAE">
        <w:trPr>
          <w:trHeight w:val="602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4C9BBCF" w14:textId="77777777" w:rsidR="00F005D6" w:rsidRPr="00523D39" w:rsidRDefault="00F005D6" w:rsidP="00F005D6">
            <w:pPr>
              <w:spacing w:line="237" w:lineRule="auto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68E" w14:textId="28EE2F66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1EFF03BD" w14:textId="77777777" w:rsidTr="008E4148">
        <w:trPr>
          <w:trHeight w:val="301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D2E9709" w14:textId="100C7A2E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Opportunities identified for progress</w:t>
            </w:r>
          </w:p>
          <w:p w14:paraId="2E7BDA80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8D25B1F" w14:textId="2EBA0F75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lastRenderedPageBreak/>
              <w:fldChar w:fldCharType="begin"/>
            </w:r>
            <w:r>
              <w:instrText xml:space="preserve"> INCLUDEPICTURE "https://lh7-us.googleusercontent.com/ro0uj9ZPNBKxJ18zDJbPEuHHOmi6oNekZ_lZVl-QoiWaIGjqg364MG_rEuUPmkFbO-6cefHlbEW_EWcdXlFQP97Ag2i4ujQ8Wk_8-DFGdVumPiEEcpvNixkqbCoaHWmJFEPKOUFUN26yM0XyD9ZrmcUbvw=nw"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AC1C2B" wp14:editId="3BD25ADB">
                  <wp:extent cx="612000" cy="612000"/>
                  <wp:effectExtent l="0" t="0" r="0" b="0"/>
                  <wp:docPr id="10384478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43" cy="62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9516C0A" w14:textId="3AC92855" w:rsidR="00F005D6" w:rsidRPr="003E2B6C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Based on the curriculum for this week, which skill(s) need(s) development?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8FEB8A9" w14:textId="73B5B7FE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  <w:t>How, where, and/or when could the trainee observe, practice and/or receive feedback on these skills?</w:t>
            </w:r>
          </w:p>
        </w:tc>
      </w:tr>
      <w:tr w:rsidR="00F005D6" w:rsidRPr="00F07217" w14:paraId="19ADFC6E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17BB4BF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363" w14:textId="1F609248" w:rsidR="00F005D6" w:rsidRPr="00523D39" w:rsidRDefault="00F005D6" w:rsidP="00CF6C43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38F" w14:textId="197B044C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8262457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2B9B59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3DA" w14:textId="4D22B4A7" w:rsidR="00F005D6" w:rsidRPr="00523D39" w:rsidRDefault="00F005D6" w:rsidP="00CF6C43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372" w14:textId="56D8903F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FEC5910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A4CF4F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2C3" w14:textId="58ED6804" w:rsidR="00F005D6" w:rsidRPr="00523D39" w:rsidRDefault="00C21EF0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 xml:space="preserve">        3.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65A" w14:textId="4BA360FF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3CBB1465" w14:textId="77777777" w:rsidTr="00403E3F">
        <w:trPr>
          <w:trHeight w:val="41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4773A" w14:textId="0D7F328E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83C7A">
              <w:rPr>
                <w:rFonts w:ascii="Cambria" w:hAnsi="Cambria" w:cs="Arial"/>
                <w:b/>
                <w:sz w:val="20"/>
                <w:szCs w:val="20"/>
              </w:rPr>
              <w:t>Current progress would suggest that t</w:t>
            </w:r>
            <w:r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he trainee is making sufficient progress through the curriculum to proceed:</w:t>
            </w:r>
          </w:p>
          <w:p w14:paraId="4CCEE12F" w14:textId="1428014C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3999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 has demonstrated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015224A5" w14:textId="673E4106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8490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curriculum, but th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ey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ha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ve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required additional support </w:t>
            </w:r>
            <w:r w:rsidR="00F005D6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(please list the additional support provided below. For example, a reduction in teaching load, additional meetings, use of team-teaching etc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33ECB3E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BD45D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4E9E9CD" w14:textId="2824F587" w:rsidR="00F005D6" w:rsidRPr="00F07217" w:rsidRDefault="00000000" w:rsidP="00F005D6">
            <w:pPr>
              <w:rPr>
                <w:rFonts w:ascii="Georgia" w:hAnsi="Georgia" w:cs="Arial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4433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No, despite additional support the trainee is not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and/or has not displayed the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 A Progress Support Plan should be considered.</w:t>
            </w:r>
            <w:r w:rsidR="00F005D6" w:rsidRPr="00F0721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1FF584B5" w14:textId="77777777" w:rsidR="000C0420" w:rsidRDefault="000C0420">
      <w:pPr>
        <w:spacing w:after="0"/>
      </w:pPr>
    </w:p>
    <w:tbl>
      <w:tblPr>
        <w:tblW w:w="533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411"/>
        <w:gridCol w:w="9072"/>
      </w:tblGrid>
      <w:tr w:rsidR="005C4DE7" w:rsidRPr="00736154" w14:paraId="2B058134" w14:textId="77777777" w:rsidTr="00EF50F0">
        <w:trPr>
          <w:trHeight w:val="448"/>
        </w:trPr>
        <w:tc>
          <w:tcPr>
            <w:tcW w:w="1050" w:type="pct"/>
            <w:shd w:val="clear" w:color="auto" w:fill="CC90FF"/>
          </w:tcPr>
          <w:p w14:paraId="22A85F45" w14:textId="1ADDF33E" w:rsidR="005C4DE7" w:rsidRPr="00F83C7A" w:rsidRDefault="005C4DE7" w:rsidP="5089E633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5089E633">
              <w:rPr>
                <w:rFonts w:ascii="Cambria" w:hAnsi="Cambria" w:cs="Arial"/>
                <w:b/>
                <w:bCs/>
              </w:rPr>
              <w:t>Mentor</w:t>
            </w:r>
            <w:r w:rsidR="137B6F41" w:rsidRPr="5089E633">
              <w:rPr>
                <w:rFonts w:ascii="Cambria" w:hAnsi="Cambria" w:cs="Arial"/>
                <w:b/>
                <w:bCs/>
              </w:rPr>
              <w:t xml:space="preserve"> (name)</w:t>
            </w:r>
          </w:p>
          <w:p w14:paraId="305B90D7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43D0597A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5C4DE7" w:rsidRPr="00C05114" w14:paraId="00DD1E78" w14:textId="77777777" w:rsidTr="5089E633">
        <w:trPr>
          <w:trHeight w:val="448"/>
        </w:trPr>
        <w:tc>
          <w:tcPr>
            <w:tcW w:w="5000" w:type="pct"/>
            <w:gridSpan w:val="2"/>
            <w:shd w:val="clear" w:color="auto" w:fill="auto"/>
          </w:tcPr>
          <w:p w14:paraId="51568FF2" w14:textId="0B076187" w:rsidR="005C4DE7" w:rsidRPr="00F83C7A" w:rsidRDefault="005C4DE7" w:rsidP="00215118">
            <w:pPr>
              <w:spacing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>Trainee</w:t>
            </w:r>
            <w:r w:rsidR="00275428" w:rsidRPr="00F83C7A">
              <w:rPr>
                <w:rFonts w:ascii="Cambria" w:hAnsi="Cambria" w:cs="Arial"/>
                <w:bCs/>
              </w:rPr>
              <w:t>s</w:t>
            </w:r>
            <w:r w:rsidRPr="00F83C7A">
              <w:rPr>
                <w:rFonts w:ascii="Cambria" w:hAnsi="Cambria" w:cs="Arial"/>
                <w:bCs/>
              </w:rPr>
              <w:t xml:space="preserve"> should ensure this WDS is submitted by the deadline for the purpose of formative assessment. Failure to do prevents the Link Tutor from assessing their progress and </w:t>
            </w:r>
            <w:r w:rsidR="00275428" w:rsidRPr="00F83C7A">
              <w:rPr>
                <w:rFonts w:ascii="Cambria" w:hAnsi="Cambria" w:cs="Arial"/>
                <w:bCs/>
              </w:rPr>
              <w:t xml:space="preserve">may result in the trainee being placed on a Progress </w:t>
            </w:r>
            <w:r w:rsidR="00723015" w:rsidRPr="00F83C7A">
              <w:rPr>
                <w:rFonts w:ascii="Cambria" w:hAnsi="Cambria" w:cs="Arial"/>
                <w:bCs/>
              </w:rPr>
              <w:t>Support</w:t>
            </w:r>
            <w:r w:rsidR="00275428" w:rsidRPr="00F83C7A">
              <w:rPr>
                <w:rFonts w:ascii="Cambria" w:hAnsi="Cambria" w:cs="Arial"/>
                <w:bCs/>
              </w:rPr>
              <w:t xml:space="preserve"> Plan.</w:t>
            </w:r>
          </w:p>
        </w:tc>
      </w:tr>
    </w:tbl>
    <w:p w14:paraId="4BE1844F" w14:textId="77777777" w:rsidR="005C4DE7" w:rsidRDefault="005C4DE7">
      <w:pPr>
        <w:spacing w:after="0"/>
      </w:pPr>
    </w:p>
    <w:sectPr w:rsidR="005C4DE7" w:rsidSect="00D628A9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7608" w14:textId="77777777" w:rsidR="00831028" w:rsidRDefault="00831028" w:rsidP="00BB0205">
      <w:pPr>
        <w:spacing w:after="0" w:line="240" w:lineRule="auto"/>
      </w:pPr>
      <w:r>
        <w:separator/>
      </w:r>
    </w:p>
  </w:endnote>
  <w:endnote w:type="continuationSeparator" w:id="0">
    <w:p w14:paraId="4317C2D6" w14:textId="77777777" w:rsidR="00831028" w:rsidRDefault="00831028" w:rsidP="00B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12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B0216" w14:textId="68E15066" w:rsidR="009C79B8" w:rsidRDefault="009C7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38055" w14:textId="77777777" w:rsidR="009C79B8" w:rsidRDefault="009C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0C74B" w14:textId="77777777" w:rsidR="00831028" w:rsidRDefault="00831028" w:rsidP="00BB0205">
      <w:pPr>
        <w:spacing w:after="0" w:line="240" w:lineRule="auto"/>
      </w:pPr>
      <w:r>
        <w:separator/>
      </w:r>
    </w:p>
  </w:footnote>
  <w:footnote w:type="continuationSeparator" w:id="0">
    <w:p w14:paraId="3F875026" w14:textId="77777777" w:rsidR="00831028" w:rsidRDefault="00831028" w:rsidP="00BB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A685" w14:textId="2EDF6E14" w:rsidR="00BB0205" w:rsidRPr="00BB0205" w:rsidRDefault="00BB0205" w:rsidP="00BB0205">
    <w:pPr>
      <w:pStyle w:val="Header"/>
      <w:jc w:val="right"/>
      <w:rPr>
        <w:b/>
        <w:sz w:val="28"/>
        <w:szCs w:val="28"/>
      </w:rPr>
    </w:pPr>
    <w:r w:rsidRPr="00BB0205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209E9C" wp14:editId="20E6C0AF">
          <wp:simplePos x="0" y="0"/>
          <wp:positionH relativeFrom="margin">
            <wp:align>left</wp:align>
          </wp:positionH>
          <wp:positionV relativeFrom="paragraph">
            <wp:posOffset>-133303</wp:posOffset>
          </wp:positionV>
          <wp:extent cx="2297685" cy="419100"/>
          <wp:effectExtent l="0" t="0" r="762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U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68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205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78F"/>
    <w:multiLevelType w:val="hybridMultilevel"/>
    <w:tmpl w:val="7E80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E9D"/>
    <w:multiLevelType w:val="hybridMultilevel"/>
    <w:tmpl w:val="01C06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349"/>
    <w:multiLevelType w:val="hybridMultilevel"/>
    <w:tmpl w:val="8BA0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1B91"/>
    <w:multiLevelType w:val="multilevel"/>
    <w:tmpl w:val="8612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7D6A"/>
    <w:multiLevelType w:val="hybridMultilevel"/>
    <w:tmpl w:val="5156B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541"/>
    <w:multiLevelType w:val="multilevel"/>
    <w:tmpl w:val="10BAE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7F0523"/>
    <w:multiLevelType w:val="hybridMultilevel"/>
    <w:tmpl w:val="23141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7CED"/>
    <w:multiLevelType w:val="hybridMultilevel"/>
    <w:tmpl w:val="BC5CC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E697C"/>
    <w:multiLevelType w:val="hybridMultilevel"/>
    <w:tmpl w:val="CD3C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60FE2"/>
    <w:multiLevelType w:val="multilevel"/>
    <w:tmpl w:val="FF46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7624AF"/>
    <w:multiLevelType w:val="hybridMultilevel"/>
    <w:tmpl w:val="BEC4D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36E59"/>
    <w:multiLevelType w:val="hybridMultilevel"/>
    <w:tmpl w:val="661CD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B2CF4"/>
    <w:multiLevelType w:val="hybridMultilevel"/>
    <w:tmpl w:val="A34A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B482F"/>
    <w:multiLevelType w:val="hybridMultilevel"/>
    <w:tmpl w:val="35EE5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2005">
    <w:abstractNumId w:val="9"/>
  </w:num>
  <w:num w:numId="2" w16cid:durableId="745959156">
    <w:abstractNumId w:val="5"/>
  </w:num>
  <w:num w:numId="3" w16cid:durableId="365060952">
    <w:abstractNumId w:val="3"/>
  </w:num>
  <w:num w:numId="4" w16cid:durableId="970749666">
    <w:abstractNumId w:val="0"/>
  </w:num>
  <w:num w:numId="5" w16cid:durableId="920409302">
    <w:abstractNumId w:val="8"/>
  </w:num>
  <w:num w:numId="6" w16cid:durableId="911085935">
    <w:abstractNumId w:val="1"/>
  </w:num>
  <w:num w:numId="7" w16cid:durableId="454517988">
    <w:abstractNumId w:val="7"/>
  </w:num>
  <w:num w:numId="8" w16cid:durableId="1424230762">
    <w:abstractNumId w:val="10"/>
  </w:num>
  <w:num w:numId="9" w16cid:durableId="375930403">
    <w:abstractNumId w:val="2"/>
  </w:num>
  <w:num w:numId="10" w16cid:durableId="114759424">
    <w:abstractNumId w:val="4"/>
  </w:num>
  <w:num w:numId="11" w16cid:durableId="2042365401">
    <w:abstractNumId w:val="6"/>
  </w:num>
  <w:num w:numId="12" w16cid:durableId="652181082">
    <w:abstractNumId w:val="13"/>
  </w:num>
  <w:num w:numId="13" w16cid:durableId="893780892">
    <w:abstractNumId w:val="11"/>
  </w:num>
  <w:num w:numId="14" w16cid:durableId="20956590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EB"/>
    <w:rsid w:val="000047C9"/>
    <w:rsid w:val="00005C4D"/>
    <w:rsid w:val="000177E9"/>
    <w:rsid w:val="000467DF"/>
    <w:rsid w:val="000664EA"/>
    <w:rsid w:val="0009417F"/>
    <w:rsid w:val="00096970"/>
    <w:rsid w:val="000A4500"/>
    <w:rsid w:val="000C0420"/>
    <w:rsid w:val="000D2747"/>
    <w:rsid w:val="000D5631"/>
    <w:rsid w:val="000D6922"/>
    <w:rsid w:val="000F7F57"/>
    <w:rsid w:val="001114DC"/>
    <w:rsid w:val="00132F3C"/>
    <w:rsid w:val="001351A6"/>
    <w:rsid w:val="0014173F"/>
    <w:rsid w:val="001436B1"/>
    <w:rsid w:val="001506CA"/>
    <w:rsid w:val="00164C19"/>
    <w:rsid w:val="00166757"/>
    <w:rsid w:val="00187942"/>
    <w:rsid w:val="00193244"/>
    <w:rsid w:val="001A090B"/>
    <w:rsid w:val="001A273A"/>
    <w:rsid w:val="001B0667"/>
    <w:rsid w:val="001B46A9"/>
    <w:rsid w:val="001B5C6F"/>
    <w:rsid w:val="001B5DFB"/>
    <w:rsid w:val="001D3CFD"/>
    <w:rsid w:val="001D76BE"/>
    <w:rsid w:val="001E17E8"/>
    <w:rsid w:val="001E5B59"/>
    <w:rsid w:val="001F2CB3"/>
    <w:rsid w:val="0020392C"/>
    <w:rsid w:val="00203B1D"/>
    <w:rsid w:val="00205900"/>
    <w:rsid w:val="002073B3"/>
    <w:rsid w:val="002077E7"/>
    <w:rsid w:val="0021448E"/>
    <w:rsid w:val="002176C6"/>
    <w:rsid w:val="00222692"/>
    <w:rsid w:val="002402B7"/>
    <w:rsid w:val="00244BD5"/>
    <w:rsid w:val="0024608C"/>
    <w:rsid w:val="00251FE4"/>
    <w:rsid w:val="00255D4F"/>
    <w:rsid w:val="00257C5E"/>
    <w:rsid w:val="00267F20"/>
    <w:rsid w:val="00275428"/>
    <w:rsid w:val="00275519"/>
    <w:rsid w:val="00280943"/>
    <w:rsid w:val="00284E41"/>
    <w:rsid w:val="002945B0"/>
    <w:rsid w:val="002D6840"/>
    <w:rsid w:val="002D71BC"/>
    <w:rsid w:val="002F0646"/>
    <w:rsid w:val="003116FA"/>
    <w:rsid w:val="003132BC"/>
    <w:rsid w:val="003324D5"/>
    <w:rsid w:val="00333FF9"/>
    <w:rsid w:val="00341505"/>
    <w:rsid w:val="00341E44"/>
    <w:rsid w:val="003433DA"/>
    <w:rsid w:val="003512E2"/>
    <w:rsid w:val="003558A2"/>
    <w:rsid w:val="00360B99"/>
    <w:rsid w:val="00360FDF"/>
    <w:rsid w:val="00362DE4"/>
    <w:rsid w:val="00362E65"/>
    <w:rsid w:val="0036642F"/>
    <w:rsid w:val="003710AC"/>
    <w:rsid w:val="00376E8F"/>
    <w:rsid w:val="00381F63"/>
    <w:rsid w:val="00387F4F"/>
    <w:rsid w:val="00393C9C"/>
    <w:rsid w:val="003960FA"/>
    <w:rsid w:val="003C0614"/>
    <w:rsid w:val="003C1D2B"/>
    <w:rsid w:val="003D5B21"/>
    <w:rsid w:val="003E1F60"/>
    <w:rsid w:val="003E2B6C"/>
    <w:rsid w:val="003E4513"/>
    <w:rsid w:val="003E7131"/>
    <w:rsid w:val="003F297E"/>
    <w:rsid w:val="004009A7"/>
    <w:rsid w:val="00402356"/>
    <w:rsid w:val="00403E3F"/>
    <w:rsid w:val="00421BEA"/>
    <w:rsid w:val="00446426"/>
    <w:rsid w:val="0045001E"/>
    <w:rsid w:val="00451F49"/>
    <w:rsid w:val="00464034"/>
    <w:rsid w:val="00470596"/>
    <w:rsid w:val="00474CE8"/>
    <w:rsid w:val="00485777"/>
    <w:rsid w:val="004933A3"/>
    <w:rsid w:val="00493E56"/>
    <w:rsid w:val="004A0E13"/>
    <w:rsid w:val="004B5455"/>
    <w:rsid w:val="004C251D"/>
    <w:rsid w:val="004C3CDB"/>
    <w:rsid w:val="004D131D"/>
    <w:rsid w:val="004D6867"/>
    <w:rsid w:val="004E5BB2"/>
    <w:rsid w:val="004F5A59"/>
    <w:rsid w:val="005031C0"/>
    <w:rsid w:val="005061DF"/>
    <w:rsid w:val="005074F9"/>
    <w:rsid w:val="00510E1B"/>
    <w:rsid w:val="005113AE"/>
    <w:rsid w:val="005120DA"/>
    <w:rsid w:val="00514020"/>
    <w:rsid w:val="00523D39"/>
    <w:rsid w:val="00532449"/>
    <w:rsid w:val="00542102"/>
    <w:rsid w:val="005502E1"/>
    <w:rsid w:val="005511A4"/>
    <w:rsid w:val="005532B5"/>
    <w:rsid w:val="00553CE4"/>
    <w:rsid w:val="00554743"/>
    <w:rsid w:val="00556F37"/>
    <w:rsid w:val="00560B2D"/>
    <w:rsid w:val="00560FE2"/>
    <w:rsid w:val="005621D1"/>
    <w:rsid w:val="00570FB3"/>
    <w:rsid w:val="0057496A"/>
    <w:rsid w:val="005775AE"/>
    <w:rsid w:val="00580D88"/>
    <w:rsid w:val="00581390"/>
    <w:rsid w:val="00586ACC"/>
    <w:rsid w:val="005A6715"/>
    <w:rsid w:val="005B4FD8"/>
    <w:rsid w:val="005B548F"/>
    <w:rsid w:val="005B5DB5"/>
    <w:rsid w:val="005C4629"/>
    <w:rsid w:val="005C4DE7"/>
    <w:rsid w:val="005D3524"/>
    <w:rsid w:val="005D6C0E"/>
    <w:rsid w:val="005E244C"/>
    <w:rsid w:val="005E5836"/>
    <w:rsid w:val="005F0F1B"/>
    <w:rsid w:val="005F3947"/>
    <w:rsid w:val="005F5A1C"/>
    <w:rsid w:val="00606867"/>
    <w:rsid w:val="006102D0"/>
    <w:rsid w:val="006112AB"/>
    <w:rsid w:val="006135EC"/>
    <w:rsid w:val="00624699"/>
    <w:rsid w:val="00631D4B"/>
    <w:rsid w:val="00634465"/>
    <w:rsid w:val="00636728"/>
    <w:rsid w:val="00637553"/>
    <w:rsid w:val="00640619"/>
    <w:rsid w:val="00645D9A"/>
    <w:rsid w:val="006466C4"/>
    <w:rsid w:val="0064731C"/>
    <w:rsid w:val="00650A8F"/>
    <w:rsid w:val="00656134"/>
    <w:rsid w:val="00663D4E"/>
    <w:rsid w:val="00667D8E"/>
    <w:rsid w:val="006758B9"/>
    <w:rsid w:val="00690414"/>
    <w:rsid w:val="00690AD3"/>
    <w:rsid w:val="00690CE7"/>
    <w:rsid w:val="00690DB7"/>
    <w:rsid w:val="006928B6"/>
    <w:rsid w:val="00697DAE"/>
    <w:rsid w:val="006A2DCB"/>
    <w:rsid w:val="006A777B"/>
    <w:rsid w:val="006B15D7"/>
    <w:rsid w:val="006B3909"/>
    <w:rsid w:val="006C0609"/>
    <w:rsid w:val="006C2B39"/>
    <w:rsid w:val="006D1899"/>
    <w:rsid w:val="006D52FD"/>
    <w:rsid w:val="006E789E"/>
    <w:rsid w:val="00703A42"/>
    <w:rsid w:val="007052C0"/>
    <w:rsid w:val="0071620C"/>
    <w:rsid w:val="00723015"/>
    <w:rsid w:val="00726BDF"/>
    <w:rsid w:val="00745BFC"/>
    <w:rsid w:val="00746049"/>
    <w:rsid w:val="00754322"/>
    <w:rsid w:val="0075782C"/>
    <w:rsid w:val="00760D48"/>
    <w:rsid w:val="00775637"/>
    <w:rsid w:val="0078737C"/>
    <w:rsid w:val="007904BD"/>
    <w:rsid w:val="007A010F"/>
    <w:rsid w:val="007A0516"/>
    <w:rsid w:val="007A5EF8"/>
    <w:rsid w:val="007B1A2C"/>
    <w:rsid w:val="007B4199"/>
    <w:rsid w:val="007C2932"/>
    <w:rsid w:val="007C66A6"/>
    <w:rsid w:val="007D2AA4"/>
    <w:rsid w:val="007E2240"/>
    <w:rsid w:val="00800444"/>
    <w:rsid w:val="008151B0"/>
    <w:rsid w:val="008235B7"/>
    <w:rsid w:val="00831028"/>
    <w:rsid w:val="0083229F"/>
    <w:rsid w:val="00842B9B"/>
    <w:rsid w:val="0085055D"/>
    <w:rsid w:val="00854B4E"/>
    <w:rsid w:val="00854F36"/>
    <w:rsid w:val="00860CBF"/>
    <w:rsid w:val="00866227"/>
    <w:rsid w:val="008675C2"/>
    <w:rsid w:val="00876843"/>
    <w:rsid w:val="00894394"/>
    <w:rsid w:val="00895480"/>
    <w:rsid w:val="00895CDD"/>
    <w:rsid w:val="008A3736"/>
    <w:rsid w:val="008A6127"/>
    <w:rsid w:val="008A67D8"/>
    <w:rsid w:val="008A798A"/>
    <w:rsid w:val="008B1D2B"/>
    <w:rsid w:val="008C5CA6"/>
    <w:rsid w:val="008C6ED4"/>
    <w:rsid w:val="008D261C"/>
    <w:rsid w:val="008D6C75"/>
    <w:rsid w:val="008E15AD"/>
    <w:rsid w:val="008E4148"/>
    <w:rsid w:val="008E45A2"/>
    <w:rsid w:val="008E4B82"/>
    <w:rsid w:val="008F03E0"/>
    <w:rsid w:val="00904801"/>
    <w:rsid w:val="00904A05"/>
    <w:rsid w:val="00905887"/>
    <w:rsid w:val="00923CC5"/>
    <w:rsid w:val="00927143"/>
    <w:rsid w:val="00943673"/>
    <w:rsid w:val="00945A5D"/>
    <w:rsid w:val="009461D9"/>
    <w:rsid w:val="009606AB"/>
    <w:rsid w:val="0096319B"/>
    <w:rsid w:val="00965CE6"/>
    <w:rsid w:val="00966A4C"/>
    <w:rsid w:val="00970EA0"/>
    <w:rsid w:val="00994CEC"/>
    <w:rsid w:val="009B3121"/>
    <w:rsid w:val="009B6144"/>
    <w:rsid w:val="009C79B8"/>
    <w:rsid w:val="009D30D2"/>
    <w:rsid w:val="009F6A89"/>
    <w:rsid w:val="00A00F62"/>
    <w:rsid w:val="00A127AF"/>
    <w:rsid w:val="00A166D0"/>
    <w:rsid w:val="00A238F8"/>
    <w:rsid w:val="00A27B4C"/>
    <w:rsid w:val="00A36B06"/>
    <w:rsid w:val="00A461C0"/>
    <w:rsid w:val="00A61137"/>
    <w:rsid w:val="00A7227A"/>
    <w:rsid w:val="00A771B9"/>
    <w:rsid w:val="00A92CA0"/>
    <w:rsid w:val="00A95F32"/>
    <w:rsid w:val="00AA17CF"/>
    <w:rsid w:val="00AA3C08"/>
    <w:rsid w:val="00AB1862"/>
    <w:rsid w:val="00AC15C1"/>
    <w:rsid w:val="00AC52AF"/>
    <w:rsid w:val="00AD07FA"/>
    <w:rsid w:val="00AD1D6C"/>
    <w:rsid w:val="00AD2305"/>
    <w:rsid w:val="00AE0D6F"/>
    <w:rsid w:val="00AE1686"/>
    <w:rsid w:val="00AE47A3"/>
    <w:rsid w:val="00AE5D12"/>
    <w:rsid w:val="00B109B2"/>
    <w:rsid w:val="00B156C3"/>
    <w:rsid w:val="00B42894"/>
    <w:rsid w:val="00B5000E"/>
    <w:rsid w:val="00B61B97"/>
    <w:rsid w:val="00B71FAE"/>
    <w:rsid w:val="00B753D0"/>
    <w:rsid w:val="00B75F73"/>
    <w:rsid w:val="00B8188E"/>
    <w:rsid w:val="00B908C1"/>
    <w:rsid w:val="00B91A31"/>
    <w:rsid w:val="00B945B9"/>
    <w:rsid w:val="00BA06A2"/>
    <w:rsid w:val="00BA12BC"/>
    <w:rsid w:val="00BA3E39"/>
    <w:rsid w:val="00BB0205"/>
    <w:rsid w:val="00BC2D67"/>
    <w:rsid w:val="00BD1719"/>
    <w:rsid w:val="00BF017F"/>
    <w:rsid w:val="00BF1357"/>
    <w:rsid w:val="00BF51FB"/>
    <w:rsid w:val="00BF69C3"/>
    <w:rsid w:val="00BF6FA3"/>
    <w:rsid w:val="00C0716F"/>
    <w:rsid w:val="00C15D2D"/>
    <w:rsid w:val="00C15D55"/>
    <w:rsid w:val="00C21B58"/>
    <w:rsid w:val="00C21EF0"/>
    <w:rsid w:val="00C50B1D"/>
    <w:rsid w:val="00C57274"/>
    <w:rsid w:val="00C60438"/>
    <w:rsid w:val="00C663BC"/>
    <w:rsid w:val="00C67B8B"/>
    <w:rsid w:val="00C714FE"/>
    <w:rsid w:val="00C76D95"/>
    <w:rsid w:val="00C80793"/>
    <w:rsid w:val="00C82FE6"/>
    <w:rsid w:val="00C93F96"/>
    <w:rsid w:val="00C95C29"/>
    <w:rsid w:val="00C97785"/>
    <w:rsid w:val="00CA07FC"/>
    <w:rsid w:val="00CB44DE"/>
    <w:rsid w:val="00CC5EA8"/>
    <w:rsid w:val="00CD75DC"/>
    <w:rsid w:val="00CE7529"/>
    <w:rsid w:val="00CF6C43"/>
    <w:rsid w:val="00D105DF"/>
    <w:rsid w:val="00D12C87"/>
    <w:rsid w:val="00D15D81"/>
    <w:rsid w:val="00D26EEE"/>
    <w:rsid w:val="00D50CEF"/>
    <w:rsid w:val="00D628A9"/>
    <w:rsid w:val="00D67B11"/>
    <w:rsid w:val="00D7386B"/>
    <w:rsid w:val="00D8211D"/>
    <w:rsid w:val="00D852D6"/>
    <w:rsid w:val="00D9275F"/>
    <w:rsid w:val="00D9612E"/>
    <w:rsid w:val="00DA4C7E"/>
    <w:rsid w:val="00DB4B64"/>
    <w:rsid w:val="00DC24A6"/>
    <w:rsid w:val="00DC78C4"/>
    <w:rsid w:val="00DC7C70"/>
    <w:rsid w:val="00DD5A4F"/>
    <w:rsid w:val="00DD6235"/>
    <w:rsid w:val="00DE15B2"/>
    <w:rsid w:val="00DE77C3"/>
    <w:rsid w:val="00DF760B"/>
    <w:rsid w:val="00E1674D"/>
    <w:rsid w:val="00E20F0A"/>
    <w:rsid w:val="00E22452"/>
    <w:rsid w:val="00E27B26"/>
    <w:rsid w:val="00E457EF"/>
    <w:rsid w:val="00E45891"/>
    <w:rsid w:val="00E5003C"/>
    <w:rsid w:val="00E53DAA"/>
    <w:rsid w:val="00E65DEB"/>
    <w:rsid w:val="00E70C1C"/>
    <w:rsid w:val="00EA5E95"/>
    <w:rsid w:val="00EA77D3"/>
    <w:rsid w:val="00EB1FA3"/>
    <w:rsid w:val="00ED360A"/>
    <w:rsid w:val="00EE0C18"/>
    <w:rsid w:val="00EE1D6A"/>
    <w:rsid w:val="00EE53F3"/>
    <w:rsid w:val="00EE5A74"/>
    <w:rsid w:val="00EE64A0"/>
    <w:rsid w:val="00EF0AF4"/>
    <w:rsid w:val="00EF50F0"/>
    <w:rsid w:val="00F005D6"/>
    <w:rsid w:val="00F07217"/>
    <w:rsid w:val="00F27212"/>
    <w:rsid w:val="00F320B5"/>
    <w:rsid w:val="00F45E23"/>
    <w:rsid w:val="00F47EC2"/>
    <w:rsid w:val="00F54737"/>
    <w:rsid w:val="00F55928"/>
    <w:rsid w:val="00F5767B"/>
    <w:rsid w:val="00F6789C"/>
    <w:rsid w:val="00F67D1E"/>
    <w:rsid w:val="00F77DFE"/>
    <w:rsid w:val="00F81686"/>
    <w:rsid w:val="00F81B73"/>
    <w:rsid w:val="00F82C86"/>
    <w:rsid w:val="00F83B94"/>
    <w:rsid w:val="00F83C7A"/>
    <w:rsid w:val="00F83EAA"/>
    <w:rsid w:val="00FA73AF"/>
    <w:rsid w:val="00FB38FA"/>
    <w:rsid w:val="00FB5206"/>
    <w:rsid w:val="00FB5D21"/>
    <w:rsid w:val="00FC0E49"/>
    <w:rsid w:val="00FC1F23"/>
    <w:rsid w:val="00FC677E"/>
    <w:rsid w:val="00FD10D4"/>
    <w:rsid w:val="00FD47B5"/>
    <w:rsid w:val="00FD57B4"/>
    <w:rsid w:val="00FD6C80"/>
    <w:rsid w:val="00FE47C3"/>
    <w:rsid w:val="00FE7B0A"/>
    <w:rsid w:val="00FF0E23"/>
    <w:rsid w:val="00FF1A1A"/>
    <w:rsid w:val="137B6F41"/>
    <w:rsid w:val="5089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2D16"/>
  <w15:docId w15:val="{0288B042-130A-42FA-A2B2-B184CE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0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0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0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20"/>
    <w:rPr>
      <w:color w:val="605E5C"/>
      <w:shd w:val="clear" w:color="auto" w:fill="E1DFDD"/>
    </w:rPr>
  </w:style>
  <w:style w:type="paragraph" w:customStyle="1" w:styleId="Default">
    <w:name w:val="Default"/>
    <w:rsid w:val="005532B5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80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077E7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1A2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FF0E23"/>
    <w:rPr>
      <w:rFonts w:ascii="Arial" w:eastAsiaTheme="minorHAnsi" w:hAnsi="Arial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54743"/>
    <w:pPr>
      <w:spacing w:after="200" w:line="240" w:lineRule="auto"/>
    </w:pPr>
    <w:rPr>
      <w:rFonts w:ascii="Arial" w:hAnsi="Arial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743"/>
    <w:rPr>
      <w:rFonts w:ascii="Arial" w:eastAsia="Calibri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12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media/619d1516e90e0704439f41c7/Skills_and_Post-16_Education_Bill_November_2021_policy_notes.pdf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s.com/magazine/archive/timeline-history-education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fs.org.uk/articles/why-2025-critical-year-fe-fund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4F1CC-C4ED-4E91-9F7B-3B7BB8925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29BC7-16CC-4EA5-B00F-3FFEEF22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622DF-3239-4AFD-99B0-5FCF655FC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Obadan</dc:creator>
  <cp:keywords/>
  <cp:lastModifiedBy>Justine Smith</cp:lastModifiedBy>
  <cp:revision>2</cp:revision>
  <cp:lastPrinted>2023-05-18T14:08:00Z</cp:lastPrinted>
  <dcterms:created xsi:type="dcterms:W3CDTF">2025-02-12T12:13:00Z</dcterms:created>
  <dcterms:modified xsi:type="dcterms:W3CDTF">2025-02-12T12:13:00Z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