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4805" w14:textId="77777777" w:rsidR="001615C3" w:rsidRDefault="001615C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1615C3" w14:paraId="734D63E1"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7EF0D369" w14:textId="77777777" w:rsidR="001615C3" w:rsidRDefault="007D2D26">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77EB5D0D" w14:textId="77777777" w:rsidR="001615C3" w:rsidRDefault="007D2D26">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1B5DA9F2" w14:textId="77777777" w:rsidR="001615C3" w:rsidRDefault="007D2D26">
            <w:pPr>
              <w:jc w:val="center"/>
              <w:rPr>
                <w:rFonts w:ascii="Cambria" w:eastAsia="Cambria" w:hAnsi="Cambria" w:cs="Cambria"/>
                <w:b/>
                <w:sz w:val="20"/>
                <w:szCs w:val="20"/>
              </w:rPr>
            </w:pPr>
            <w:r>
              <w:rPr>
                <w:rFonts w:ascii="Cambria" w:eastAsia="Cambria" w:hAnsi="Cambria" w:cs="Cambria"/>
                <w:b/>
                <w:color w:val="FFFFFF"/>
                <w:sz w:val="20"/>
                <w:szCs w:val="20"/>
              </w:rPr>
              <w:t>Week 10</w:t>
            </w:r>
          </w:p>
        </w:tc>
      </w:tr>
      <w:tr w:rsidR="001615C3" w14:paraId="70E5489A"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7AFDAD10" w14:textId="77777777" w:rsidR="001615C3" w:rsidRDefault="007D2D26">
            <w:pPr>
              <w:jc w:val="both"/>
              <w:rPr>
                <w:b/>
              </w:rPr>
            </w:pPr>
            <w:r>
              <w:rPr>
                <w:b/>
              </w:rPr>
              <w:t>Course: Secondary Computing (11-16) PGCE</w:t>
            </w:r>
          </w:p>
        </w:tc>
      </w:tr>
      <w:tr w:rsidR="001615C3" w14:paraId="51AA970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71F3DA6" w14:textId="77777777" w:rsidR="001615C3" w:rsidRDefault="007D2D26">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748CCCF6" w14:textId="77777777" w:rsidR="001615C3" w:rsidRDefault="001615C3">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89FFA64" w14:textId="77777777" w:rsidR="001615C3" w:rsidRDefault="007D2D26">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0C55C671" w14:textId="77777777" w:rsidR="001615C3" w:rsidRDefault="001615C3">
            <w:pPr>
              <w:jc w:val="both"/>
              <w:rPr>
                <w:b/>
              </w:rPr>
            </w:pPr>
          </w:p>
        </w:tc>
      </w:tr>
      <w:tr w:rsidR="001615C3" w14:paraId="57E9A2D8"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8717177" w14:textId="77777777" w:rsidR="001615C3" w:rsidRDefault="007D2D26">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AAE5B" w14:textId="77777777" w:rsidR="001615C3" w:rsidRDefault="001615C3">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19FC7E1" w14:textId="77777777" w:rsidR="001615C3" w:rsidRDefault="007D2D26">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9C3CF04" w14:textId="77777777" w:rsidR="001615C3" w:rsidRDefault="007D2D26">
            <w:pPr>
              <w:jc w:val="both"/>
              <w:rPr>
                <w:b/>
              </w:rPr>
            </w:pPr>
            <w:r>
              <w:rPr>
                <w:b/>
              </w:rPr>
              <w:t>Introductory</w:t>
            </w:r>
          </w:p>
        </w:tc>
      </w:tr>
      <w:tr w:rsidR="001615C3" w14:paraId="6663F6B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391922DE" w14:textId="77777777" w:rsidR="001615C3" w:rsidRDefault="007D2D26">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45B75CB" w14:textId="77777777" w:rsidR="001615C3" w:rsidRDefault="001615C3">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13C2A9BE" w14:textId="77777777" w:rsidR="001615C3" w:rsidRDefault="007D2D26">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68BF5" w14:textId="77777777" w:rsidR="001615C3" w:rsidRDefault="001615C3">
            <w:pPr>
              <w:jc w:val="both"/>
              <w:rPr>
                <w:b/>
              </w:rPr>
            </w:pPr>
          </w:p>
        </w:tc>
      </w:tr>
      <w:tr w:rsidR="001615C3" w14:paraId="029FB252"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3FDAE77" w14:textId="77777777" w:rsidR="001615C3" w:rsidRDefault="007D2D26">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61AE418" w14:textId="77777777" w:rsidR="001615C3" w:rsidRDefault="007D2D26">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0AD56E4" w14:textId="77777777" w:rsidR="001615C3" w:rsidRDefault="007D2D26">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4EB516D" w14:textId="77777777" w:rsidR="001615C3" w:rsidRDefault="001615C3">
            <w:pPr>
              <w:jc w:val="both"/>
              <w:rPr>
                <w:b/>
              </w:rPr>
            </w:pPr>
          </w:p>
        </w:tc>
      </w:tr>
      <w:tr w:rsidR="001615C3" w14:paraId="746D407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4388A0AC" w14:textId="77777777" w:rsidR="001615C3" w:rsidRDefault="007D2D26">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B88B8C1" w14:textId="77777777" w:rsidR="001615C3" w:rsidRDefault="007D2D26">
            <w:pPr>
              <w:jc w:val="center"/>
              <w:rPr>
                <w:b/>
              </w:rPr>
            </w:pPr>
            <w:r>
              <w:rPr>
                <w:b/>
              </w:rPr>
              <w:t>Monday</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14:paraId="7724C5E3" w14:textId="77777777" w:rsidR="001615C3" w:rsidRDefault="007D2D26">
            <w:pPr>
              <w:jc w:val="center"/>
              <w:rPr>
                <w:b/>
              </w:rPr>
            </w:pPr>
            <w:r>
              <w:rPr>
                <w:b/>
              </w:rPr>
              <w:t>Tuesday</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C88661" w14:textId="77777777" w:rsidR="001615C3" w:rsidRDefault="007D2D26">
            <w:pPr>
              <w:jc w:val="center"/>
              <w:rPr>
                <w:b/>
              </w:rPr>
            </w:pPr>
            <w:r>
              <w:rPr>
                <w:b/>
              </w:rPr>
              <w:t>Wednesday</w:t>
            </w:r>
          </w:p>
        </w:tc>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D82D41" w14:textId="77777777" w:rsidR="001615C3" w:rsidRDefault="007D2D26">
            <w:pPr>
              <w:jc w:val="center"/>
              <w:rPr>
                <w:b/>
              </w:rPr>
            </w:pPr>
            <w:r>
              <w:rPr>
                <w:b/>
              </w:rPr>
              <w:t>Thursday</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34CCD50" w14:textId="77777777" w:rsidR="001615C3" w:rsidRDefault="007D2D26">
            <w:pPr>
              <w:jc w:val="center"/>
              <w:rPr>
                <w:b/>
              </w:rPr>
            </w:pPr>
            <w:r>
              <w:rPr>
                <w:b/>
              </w:rPr>
              <w:t>Friday</w:t>
            </w:r>
          </w:p>
        </w:tc>
      </w:tr>
      <w:tr w:rsidR="001615C3" w14:paraId="798A2560"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E4EFD3C" w14:textId="77777777" w:rsidR="001615C3" w:rsidRDefault="007D2D26">
            <w:pPr>
              <w:rPr>
                <w:b/>
              </w:rPr>
            </w:pPr>
            <w:r>
              <w:rPr>
                <w:b/>
              </w:rPr>
              <w:t>Key reading for the week</w:t>
            </w:r>
          </w:p>
          <w:p w14:paraId="57559EC4" w14:textId="77777777" w:rsidR="001615C3" w:rsidRDefault="007D2D26">
            <w:pPr>
              <w:jc w:val="center"/>
              <w:rPr>
                <w:b/>
              </w:rPr>
            </w:pPr>
            <w:r>
              <w:rPr>
                <w:noProof/>
              </w:rPr>
              <w:drawing>
                <wp:inline distT="0" distB="0" distL="0" distR="0" wp14:anchorId="6414242B" wp14:editId="73BC8406">
                  <wp:extent cx="633730" cy="6337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0AB8B958" w14:textId="77777777" w:rsidR="001615C3" w:rsidRDefault="007D2D26">
            <w:pPr>
              <w:pBdr>
                <w:top w:val="nil"/>
                <w:left w:val="nil"/>
                <w:bottom w:val="nil"/>
                <w:right w:val="nil"/>
                <w:between w:val="nil"/>
              </w:pBdr>
              <w:rPr>
                <w:color w:val="000000"/>
                <w:highlight w:val="white"/>
              </w:rPr>
            </w:pPr>
            <w:r>
              <w:rPr>
                <w:b/>
                <w:color w:val="000000"/>
              </w:rPr>
              <w:t>Summary</w:t>
            </w:r>
            <w:r>
              <w:rPr>
                <w:color w:val="000000"/>
                <w:highlight w:val="white"/>
              </w:rPr>
              <w:t xml:space="preserve"> </w:t>
            </w:r>
          </w:p>
          <w:p w14:paraId="6BAB2D46" w14:textId="77777777" w:rsidR="001615C3" w:rsidRDefault="007D2D26">
            <w:pPr>
              <w:pBdr>
                <w:top w:val="nil"/>
                <w:left w:val="nil"/>
                <w:bottom w:val="nil"/>
                <w:right w:val="nil"/>
                <w:between w:val="nil"/>
              </w:pBdr>
              <w:rPr>
                <w:highlight w:val="white"/>
              </w:rPr>
            </w:pPr>
            <w:r>
              <w:rPr>
                <w:highlight w:val="white"/>
              </w:rPr>
              <w:t xml:space="preserve">"Working Inside the Black Box: Assessment for Learning in the Classroom" is a seminal educational paper by Paul Black and Dylan Wiliam. </w:t>
            </w:r>
            <w:r>
              <w:rPr>
                <w:highlight w:val="white"/>
              </w:rPr>
              <w:br/>
              <w:t>It emphasizes the importance of formative assessment, a process where teachers continually gather feedback to adapt the</w:t>
            </w:r>
            <w:r>
              <w:rPr>
                <w:highlight w:val="white"/>
              </w:rPr>
              <w:t>ir teaching. The authors argue that formative assessment, when integrated effectively into daily instruction, can significantly enhance student learning outcomes. It encourages teachers to engage in ongoing dialogue with students, providing constructive fe</w:t>
            </w:r>
            <w:r>
              <w:rPr>
                <w:highlight w:val="white"/>
              </w:rPr>
              <w:t>edback and addressing misconceptions. The paper advocates for a shift away from summative assessment and high-stakes testing, promoting a more student-</w:t>
            </w:r>
            <w:proofErr w:type="spellStart"/>
            <w:r>
              <w:rPr>
                <w:highlight w:val="white"/>
              </w:rPr>
              <w:t>centered</w:t>
            </w:r>
            <w:proofErr w:type="spellEnd"/>
            <w:r>
              <w:rPr>
                <w:highlight w:val="white"/>
              </w:rPr>
              <w:t>, supportive approach to learning in the classroom.</w:t>
            </w:r>
          </w:p>
          <w:p w14:paraId="20F4BB23" w14:textId="77777777" w:rsidR="001615C3" w:rsidRDefault="001615C3">
            <w:pPr>
              <w:pBdr>
                <w:top w:val="nil"/>
                <w:left w:val="nil"/>
                <w:bottom w:val="nil"/>
                <w:right w:val="nil"/>
                <w:between w:val="nil"/>
              </w:pBdr>
            </w:pPr>
          </w:p>
          <w:p w14:paraId="67BBE5FC" w14:textId="77777777" w:rsidR="001615C3" w:rsidRDefault="007D2D26">
            <w:pPr>
              <w:pBdr>
                <w:top w:val="nil"/>
                <w:left w:val="nil"/>
                <w:bottom w:val="nil"/>
                <w:right w:val="nil"/>
                <w:between w:val="nil"/>
              </w:pBdr>
              <w:rPr>
                <w:b/>
              </w:rPr>
            </w:pPr>
            <w:r>
              <w:rPr>
                <w:b/>
              </w:rPr>
              <w:t>Limitations</w:t>
            </w:r>
          </w:p>
          <w:p w14:paraId="2E72DE32" w14:textId="77777777" w:rsidR="001615C3" w:rsidRDefault="007D2D26">
            <w:pPr>
              <w:jc w:val="both"/>
            </w:pPr>
            <w:r>
              <w:t>Much of the work is drawn from a</w:t>
            </w:r>
            <w:r>
              <w:t xml:space="preserve"> paper drawn up in 1998. Teaching has changed a lot since. Also, by aggregating 'effect sizes' this poses challenges due to diverse study designs, contexts, and outcome measures, potentially leading to oversimplification and skewed interpretations.</w:t>
            </w:r>
          </w:p>
          <w:p w14:paraId="07C3025A" w14:textId="77777777" w:rsidR="001615C3" w:rsidRDefault="007D2D26">
            <w:pPr>
              <w:jc w:val="both"/>
              <w:rPr>
                <w:b/>
              </w:rPr>
            </w:pPr>
            <w:r>
              <w:rPr>
                <w:b/>
              </w:rPr>
              <w:t xml:space="preserve">                       </w:t>
            </w:r>
          </w:p>
          <w:p w14:paraId="5F3DF688" w14:textId="77777777" w:rsidR="001615C3" w:rsidRDefault="007D2D26">
            <w:pPr>
              <w:pBdr>
                <w:top w:val="nil"/>
                <w:left w:val="nil"/>
                <w:bottom w:val="nil"/>
                <w:right w:val="nil"/>
                <w:between w:val="nil"/>
              </w:pBdr>
              <w:rPr>
                <w:b/>
                <w:color w:val="000000"/>
              </w:rPr>
            </w:pPr>
            <w:r>
              <w:rPr>
                <w:b/>
                <w:color w:val="000000"/>
              </w:rPr>
              <w:t>Reference</w:t>
            </w:r>
          </w:p>
          <w:p w14:paraId="6727B651" w14:textId="77777777" w:rsidR="001615C3" w:rsidRDefault="007D2D26">
            <w:pPr>
              <w:pBdr>
                <w:top w:val="nil"/>
                <w:left w:val="nil"/>
                <w:bottom w:val="nil"/>
                <w:right w:val="nil"/>
                <w:between w:val="nil"/>
              </w:pBdr>
              <w:rPr>
                <w:color w:val="000000"/>
              </w:rPr>
            </w:pPr>
            <w:r>
              <w:rPr>
                <w:b/>
              </w:rPr>
              <w:t xml:space="preserve">Black, P., Harrison, C., Lee, C., Marshall, B., &amp; Wiliam, D. (2004). Working inside the Black Box: Assessment for Learning in the Classroom. Phi Delta </w:t>
            </w:r>
            <w:proofErr w:type="spellStart"/>
            <w:r>
              <w:rPr>
                <w:b/>
              </w:rPr>
              <w:t>Kappan</w:t>
            </w:r>
            <w:proofErr w:type="spellEnd"/>
            <w:r>
              <w:rPr>
                <w:b/>
              </w:rPr>
              <w:t xml:space="preserve">, 86(1), 8–21. Accessible from: https://eric.ed.gov/?id=EJ705962 </w:t>
            </w:r>
            <w:r>
              <w:rPr>
                <w:b/>
              </w:rPr>
              <w:t xml:space="preserve">[4003] </w:t>
            </w:r>
            <w:hyperlink r:id="rId7">
              <w:r>
                <w:rPr>
                  <w:b/>
                  <w:color w:val="1155CC"/>
                  <w:u w:val="single"/>
                </w:rPr>
                <w:t>https://eric.ed.gov/?id=EJ705962</w:t>
              </w:r>
            </w:hyperlink>
            <w:r>
              <w:rPr>
                <w:b/>
              </w:rPr>
              <w:t xml:space="preserve"> </w:t>
            </w:r>
          </w:p>
        </w:tc>
      </w:tr>
      <w:tr w:rsidR="001615C3" w14:paraId="5610A5B9"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43C8DFEB" w14:textId="77777777" w:rsidR="001615C3" w:rsidRDefault="007D2D26">
            <w:pPr>
              <w:spacing w:line="237" w:lineRule="auto"/>
              <w:jc w:val="center"/>
              <w:rPr>
                <w:b/>
              </w:rPr>
            </w:pPr>
            <w:r>
              <w:rPr>
                <w:b/>
              </w:rPr>
              <w:t>Support for mentoring in this subject</w:t>
            </w:r>
          </w:p>
          <w:p w14:paraId="0C430095" w14:textId="77777777" w:rsidR="001615C3" w:rsidRDefault="001615C3">
            <w:pPr>
              <w:spacing w:line="237" w:lineRule="auto"/>
              <w:jc w:val="center"/>
              <w:rPr>
                <w:b/>
              </w:rPr>
            </w:pPr>
          </w:p>
          <w:p w14:paraId="017A0F2D" w14:textId="77777777" w:rsidR="001615C3" w:rsidRDefault="007D2D26">
            <w:pPr>
              <w:jc w:val="center"/>
              <w:rPr>
                <w:b/>
              </w:rPr>
            </w:pPr>
            <w:r>
              <w:rPr>
                <w:noProof/>
              </w:rPr>
              <w:drawing>
                <wp:inline distT="0" distB="0" distL="0" distR="0" wp14:anchorId="2221C46E" wp14:editId="04797952">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2A4E9EB" w14:textId="77777777" w:rsidR="001615C3" w:rsidRDefault="007D2D26">
            <w:pPr>
              <w:pBdr>
                <w:top w:val="nil"/>
                <w:left w:val="nil"/>
                <w:bottom w:val="nil"/>
                <w:right w:val="nil"/>
                <w:between w:val="nil"/>
              </w:pBdr>
              <w:shd w:val="clear" w:color="auto" w:fill="FFFFFF"/>
              <w:rPr>
                <w:color w:val="201F1E"/>
              </w:rPr>
            </w:pPr>
            <w:r>
              <w:rPr>
                <w:color w:val="201F1E"/>
              </w:rPr>
              <w:t xml:space="preserve">ISACC Computing Question </w:t>
            </w:r>
            <w:proofErr w:type="gramStart"/>
            <w:r>
              <w:rPr>
                <w:color w:val="201F1E"/>
              </w:rPr>
              <w:t>Finder :</w:t>
            </w:r>
            <w:proofErr w:type="gramEnd"/>
            <w:r>
              <w:rPr>
                <w:color w:val="201F1E"/>
              </w:rPr>
              <w:t xml:space="preserve"> Generate a selection of computing questions by key stage, exam board, topic and challenge level. Available at </w:t>
            </w:r>
            <w:hyperlink r:id="rId9" w:anchor="182a3fbf-0ceb-47b1-b421-7ba31e189c4f">
              <w:r>
                <w:rPr>
                  <w:color w:val="1155CC"/>
                  <w:u w:val="single"/>
                </w:rPr>
                <w:t>https://isaaccomputerscience.org/gameboards/new?examBoard=all&amp;stage=all#182a3fbf-0ceb-47b1-b421-7ba31e189c4f</w:t>
              </w:r>
            </w:hyperlink>
            <w:r>
              <w:rPr>
                <w:color w:val="201F1E"/>
              </w:rPr>
              <w:t xml:space="preserve"> </w:t>
            </w:r>
          </w:p>
          <w:p w14:paraId="4BAEBB88" w14:textId="77777777" w:rsidR="001615C3" w:rsidRDefault="001615C3">
            <w:pPr>
              <w:pBdr>
                <w:top w:val="nil"/>
                <w:left w:val="nil"/>
                <w:bottom w:val="nil"/>
                <w:right w:val="nil"/>
                <w:between w:val="nil"/>
              </w:pBdr>
              <w:shd w:val="clear" w:color="auto" w:fill="FFFFFF"/>
              <w:rPr>
                <w:color w:val="201F1E"/>
              </w:rPr>
            </w:pPr>
          </w:p>
          <w:p w14:paraId="095D2993" w14:textId="77777777" w:rsidR="001615C3" w:rsidRDefault="001615C3">
            <w:pPr>
              <w:jc w:val="both"/>
              <w:rPr>
                <w:b/>
              </w:rPr>
            </w:pPr>
          </w:p>
        </w:tc>
      </w:tr>
    </w:tbl>
    <w:p w14:paraId="57B28252" w14:textId="77777777" w:rsidR="001615C3" w:rsidRDefault="007D2D26">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1615C3" w14:paraId="1D9E0FE9" w14:textId="77777777">
        <w:trPr>
          <w:trHeight w:val="262"/>
        </w:trPr>
        <w:tc>
          <w:tcPr>
            <w:tcW w:w="1887" w:type="dxa"/>
            <w:vMerge w:val="restart"/>
            <w:tcBorders>
              <w:top w:val="single" w:sz="4" w:space="0" w:color="000000"/>
              <w:left w:val="single" w:sz="4" w:space="0" w:color="000000"/>
              <w:right w:val="single" w:sz="4" w:space="0" w:color="000000"/>
            </w:tcBorders>
          </w:tcPr>
          <w:p w14:paraId="763E7501" w14:textId="77777777" w:rsidR="001615C3" w:rsidRDefault="001615C3">
            <w:pPr>
              <w:spacing w:line="237" w:lineRule="auto"/>
              <w:jc w:val="center"/>
              <w:rPr>
                <w:b/>
              </w:rPr>
            </w:pPr>
          </w:p>
          <w:p w14:paraId="551B92CF" w14:textId="77777777" w:rsidR="001615C3" w:rsidRDefault="001615C3">
            <w:pPr>
              <w:spacing w:line="237" w:lineRule="auto"/>
              <w:jc w:val="center"/>
              <w:rPr>
                <w:b/>
              </w:rPr>
            </w:pPr>
          </w:p>
          <w:p w14:paraId="1DDBFB53" w14:textId="77777777" w:rsidR="001615C3" w:rsidRDefault="007D2D26">
            <w:pPr>
              <w:spacing w:line="237" w:lineRule="auto"/>
              <w:jc w:val="center"/>
              <w:rPr>
                <w:b/>
              </w:rPr>
            </w:pPr>
            <w:r>
              <w:rPr>
                <w:b/>
              </w:rPr>
              <w:t>Curriculum for the week</w:t>
            </w:r>
          </w:p>
          <w:p w14:paraId="1B4556C0" w14:textId="77777777" w:rsidR="001615C3" w:rsidRDefault="007D2D26">
            <w:r>
              <w:t xml:space="preserve"> </w:t>
            </w:r>
          </w:p>
          <w:p w14:paraId="4E1DD50C" w14:textId="77777777" w:rsidR="001615C3" w:rsidRDefault="007D2D26">
            <w:pPr>
              <w:tabs>
                <w:tab w:val="center" w:pos="1069"/>
              </w:tabs>
              <w:jc w:val="center"/>
            </w:pPr>
            <w:r>
              <w:rPr>
                <w:noProof/>
              </w:rPr>
              <w:drawing>
                <wp:inline distT="0" distB="0" distL="0" distR="0" wp14:anchorId="432FEB99" wp14:editId="206E17E3">
                  <wp:extent cx="543560" cy="5435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69830A45" w14:textId="77777777" w:rsidR="001615C3" w:rsidRDefault="007D2D26">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632DDBE5" w14:textId="77777777" w:rsidR="001615C3" w:rsidRDefault="007D2D26">
            <w:pPr>
              <w:jc w:val="center"/>
              <w:rPr>
                <w:b/>
              </w:rPr>
            </w:pPr>
            <w:r>
              <w:rPr>
                <w:b/>
              </w:rPr>
              <w:t>Y/N</w:t>
            </w:r>
          </w:p>
          <w:p w14:paraId="7159D06E" w14:textId="77777777" w:rsidR="001615C3" w:rsidRDefault="001615C3">
            <w:pPr>
              <w:jc w:val="center"/>
              <w:rPr>
                <w:b/>
              </w:rPr>
            </w:pPr>
          </w:p>
        </w:tc>
      </w:tr>
      <w:tr w:rsidR="001615C3" w14:paraId="3E3783A4" w14:textId="77777777">
        <w:trPr>
          <w:trHeight w:val="549"/>
        </w:trPr>
        <w:tc>
          <w:tcPr>
            <w:tcW w:w="1887" w:type="dxa"/>
            <w:vMerge/>
            <w:tcBorders>
              <w:top w:val="single" w:sz="4" w:space="0" w:color="000000"/>
              <w:left w:val="single" w:sz="4" w:space="0" w:color="000000"/>
              <w:right w:val="single" w:sz="4" w:space="0" w:color="000000"/>
            </w:tcBorders>
          </w:tcPr>
          <w:p w14:paraId="53D5328A" w14:textId="77777777" w:rsidR="001615C3" w:rsidRDefault="001615C3">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500AA41" w14:textId="77777777" w:rsidR="001615C3" w:rsidRDefault="007D2D26">
            <w:pPr>
              <w:pBdr>
                <w:top w:val="nil"/>
                <w:left w:val="nil"/>
                <w:bottom w:val="nil"/>
                <w:right w:val="nil"/>
                <w:between w:val="nil"/>
              </w:pBdr>
              <w:spacing w:after="160" w:line="259" w:lineRule="auto"/>
              <w:rPr>
                <w:b/>
                <w:color w:val="000000"/>
                <w:highlight w:val="white"/>
              </w:rPr>
            </w:pPr>
            <w:r>
              <w:t xml:space="preserve">High-quality classroom talk can support pupils to articulate key ideas, consolidate understanding and extend their vocabulary </w:t>
            </w:r>
            <w:r>
              <w:br/>
              <w:t>Questioning identifies pupils’ prior knowledge, assesses their understanding as the lesson proceeds and can help them work throug</w:t>
            </w:r>
            <w:r>
              <w:t xml:space="preserve">h a problem in situ. It also allows pupils to express their ideas and extend their vocabulary. </w:t>
            </w:r>
            <w:r>
              <w:br/>
              <w:t>Recognise that planning for effective questioning requires consideration of both question content and structure.</w:t>
            </w:r>
          </w:p>
        </w:tc>
        <w:tc>
          <w:tcPr>
            <w:tcW w:w="657" w:type="dxa"/>
            <w:tcBorders>
              <w:top w:val="single" w:sz="4" w:space="0" w:color="000000"/>
              <w:left w:val="single" w:sz="4" w:space="0" w:color="000000"/>
              <w:bottom w:val="single" w:sz="4" w:space="0" w:color="000000"/>
              <w:right w:val="single" w:sz="4" w:space="0" w:color="000000"/>
            </w:tcBorders>
          </w:tcPr>
          <w:p w14:paraId="75905C72" w14:textId="77777777" w:rsidR="001615C3" w:rsidRDefault="001615C3">
            <w:pPr>
              <w:jc w:val="center"/>
            </w:pPr>
          </w:p>
        </w:tc>
      </w:tr>
      <w:tr w:rsidR="001615C3" w14:paraId="7DEA8D45" w14:textId="77777777">
        <w:trPr>
          <w:trHeight w:val="152"/>
        </w:trPr>
        <w:tc>
          <w:tcPr>
            <w:tcW w:w="1887" w:type="dxa"/>
            <w:vMerge/>
            <w:tcBorders>
              <w:top w:val="single" w:sz="4" w:space="0" w:color="000000"/>
              <w:left w:val="single" w:sz="4" w:space="0" w:color="000000"/>
              <w:right w:val="single" w:sz="4" w:space="0" w:color="000000"/>
            </w:tcBorders>
          </w:tcPr>
          <w:p w14:paraId="72C1F8BA" w14:textId="77777777" w:rsidR="001615C3" w:rsidRDefault="001615C3">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66FE2B8" w14:textId="77777777" w:rsidR="001615C3" w:rsidRDefault="007D2D26">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5D597D17" w14:textId="77777777" w:rsidR="001615C3" w:rsidRDefault="007D2D26">
            <w:pPr>
              <w:jc w:val="center"/>
              <w:rPr>
                <w:b/>
              </w:rPr>
            </w:pPr>
            <w:r>
              <w:rPr>
                <w:b/>
              </w:rPr>
              <w:t>Y/N</w:t>
            </w:r>
          </w:p>
          <w:p w14:paraId="4D20C9CD" w14:textId="77777777" w:rsidR="001615C3" w:rsidRDefault="001615C3">
            <w:pPr>
              <w:jc w:val="center"/>
              <w:rPr>
                <w:b/>
              </w:rPr>
            </w:pPr>
          </w:p>
        </w:tc>
      </w:tr>
      <w:tr w:rsidR="001615C3" w14:paraId="698A4B90" w14:textId="77777777">
        <w:trPr>
          <w:trHeight w:val="152"/>
        </w:trPr>
        <w:tc>
          <w:tcPr>
            <w:tcW w:w="1887" w:type="dxa"/>
            <w:vMerge/>
            <w:tcBorders>
              <w:top w:val="single" w:sz="4" w:space="0" w:color="000000"/>
              <w:left w:val="single" w:sz="4" w:space="0" w:color="000000"/>
              <w:right w:val="single" w:sz="4" w:space="0" w:color="000000"/>
            </w:tcBorders>
          </w:tcPr>
          <w:p w14:paraId="2A3A7B11" w14:textId="77777777" w:rsidR="001615C3" w:rsidRDefault="001615C3">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208FFD57" w14:textId="77777777" w:rsidR="001615C3" w:rsidRDefault="007D2D26">
            <w:pPr>
              <w:pBdr>
                <w:top w:val="nil"/>
                <w:left w:val="nil"/>
                <w:bottom w:val="nil"/>
                <w:right w:val="nil"/>
                <w:between w:val="nil"/>
              </w:pBdr>
              <w:spacing w:after="160" w:line="259" w:lineRule="auto"/>
              <w:rPr>
                <w:b/>
                <w:color w:val="000000"/>
              </w:rPr>
            </w:pPr>
            <w:r>
              <w:t xml:space="preserve">Deconstruct a range of types of questions in class discussions to extend and challenge pupils (e.g., by modelling new vocabulary or asking pupils to justify answers). </w:t>
            </w:r>
            <w:r>
              <w:br/>
              <w:t>Deliberately match question content and structure to curriculum content and pupil charac</w:t>
            </w:r>
            <w:r>
              <w:t>teristics – to plan an effective sequence of questions to achieve a specific learning outcome.</w:t>
            </w:r>
          </w:p>
        </w:tc>
        <w:tc>
          <w:tcPr>
            <w:tcW w:w="657" w:type="dxa"/>
            <w:tcBorders>
              <w:top w:val="single" w:sz="4" w:space="0" w:color="000000"/>
              <w:left w:val="single" w:sz="4" w:space="0" w:color="000000"/>
              <w:bottom w:val="single" w:sz="4" w:space="0" w:color="000000"/>
              <w:right w:val="single" w:sz="4" w:space="0" w:color="000000"/>
            </w:tcBorders>
          </w:tcPr>
          <w:p w14:paraId="4EF6B4FE" w14:textId="77777777" w:rsidR="001615C3" w:rsidRDefault="001615C3">
            <w:pPr>
              <w:rPr>
                <w:b/>
              </w:rPr>
            </w:pPr>
          </w:p>
        </w:tc>
      </w:tr>
      <w:tr w:rsidR="001615C3" w14:paraId="38DA7C54"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7981C49A" w14:textId="77777777" w:rsidR="001615C3" w:rsidRDefault="007D2D26">
            <w:pPr>
              <w:spacing w:line="237" w:lineRule="auto"/>
              <w:jc w:val="center"/>
              <w:rPr>
                <w:b/>
              </w:rPr>
            </w:pPr>
            <w:r>
              <w:rPr>
                <w:b/>
              </w:rPr>
              <w:t xml:space="preserve">Questions for mentor and trainee to discuss in mentor meeting       </w:t>
            </w:r>
            <w:r>
              <w:rPr>
                <w:noProof/>
              </w:rPr>
              <w:drawing>
                <wp:inline distT="0" distB="0" distL="0" distR="0" wp14:anchorId="3A9727FF" wp14:editId="53E634E2">
                  <wp:extent cx="419100" cy="633311"/>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02603A5D" w14:textId="77777777" w:rsidR="001615C3" w:rsidRDefault="007D2D26">
            <w:pPr>
              <w:pBdr>
                <w:top w:val="nil"/>
                <w:left w:val="nil"/>
                <w:bottom w:val="nil"/>
                <w:right w:val="nil"/>
                <w:between w:val="nil"/>
              </w:pBdr>
              <w:jc w:val="both"/>
              <w:rPr>
                <w:b/>
              </w:rPr>
            </w:pPr>
            <w:r>
              <w:rPr>
                <w:b/>
              </w:rPr>
              <w:t>1. How might questioning be used to identify knowledge gaps and misconceptions?</w:t>
            </w:r>
            <w:r>
              <w:rPr>
                <w:b/>
              </w:rPr>
              <w:br/>
              <w:t xml:space="preserve">Mentor summary of trainee response: </w:t>
            </w:r>
          </w:p>
          <w:p w14:paraId="40ABC359" w14:textId="77777777" w:rsidR="001615C3" w:rsidRDefault="007D2D26">
            <w:pPr>
              <w:pBdr>
                <w:top w:val="nil"/>
                <w:left w:val="nil"/>
                <w:bottom w:val="nil"/>
                <w:right w:val="nil"/>
                <w:between w:val="nil"/>
              </w:pBdr>
              <w:jc w:val="both"/>
              <w:rPr>
                <w:b/>
              </w:rPr>
            </w:pPr>
            <w:r>
              <w:rPr>
                <w:b/>
              </w:rPr>
              <w:br/>
              <w:t>2. Evaluate a subject specific example of a question that you have used /or observed in a class discussion that extended and challenged pu</w:t>
            </w:r>
            <w:r>
              <w:rPr>
                <w:b/>
              </w:rPr>
              <w:t>pils.</w:t>
            </w:r>
          </w:p>
          <w:p w14:paraId="187204B4" w14:textId="77777777" w:rsidR="001615C3" w:rsidRDefault="007D2D26">
            <w:pPr>
              <w:pBdr>
                <w:top w:val="nil"/>
                <w:left w:val="nil"/>
                <w:bottom w:val="nil"/>
                <w:right w:val="nil"/>
                <w:between w:val="nil"/>
              </w:pBdr>
              <w:jc w:val="both"/>
              <w:rPr>
                <w:b/>
              </w:rPr>
            </w:pPr>
            <w:r>
              <w:rPr>
                <w:b/>
              </w:rPr>
              <w:t>Mentor summary of trainee response:</w:t>
            </w:r>
          </w:p>
          <w:p w14:paraId="692B2FED" w14:textId="77777777" w:rsidR="001615C3" w:rsidRDefault="001615C3">
            <w:pPr>
              <w:pBdr>
                <w:top w:val="nil"/>
                <w:left w:val="nil"/>
                <w:bottom w:val="nil"/>
                <w:right w:val="nil"/>
                <w:between w:val="nil"/>
              </w:pBdr>
              <w:jc w:val="both"/>
            </w:pPr>
          </w:p>
        </w:tc>
      </w:tr>
      <w:tr w:rsidR="001615C3" w14:paraId="73400287"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30E06534" w14:textId="77777777" w:rsidR="001615C3" w:rsidRDefault="007D2D26">
            <w:pPr>
              <w:spacing w:line="237" w:lineRule="auto"/>
              <w:jc w:val="center"/>
              <w:rPr>
                <w:b/>
              </w:rPr>
            </w:pPr>
            <w:r>
              <w:rPr>
                <w:b/>
              </w:rPr>
              <w:t>Additional notes from mentor meeting</w:t>
            </w:r>
          </w:p>
          <w:p w14:paraId="2B9748B2" w14:textId="77777777" w:rsidR="001615C3" w:rsidRDefault="007D2D26">
            <w:pPr>
              <w:spacing w:line="237" w:lineRule="auto"/>
              <w:jc w:val="center"/>
              <w:rPr>
                <w:b/>
              </w:rPr>
            </w:pPr>
            <w:r>
              <w:rPr>
                <w:noProof/>
              </w:rPr>
              <w:drawing>
                <wp:inline distT="0" distB="0" distL="0" distR="0" wp14:anchorId="41879460" wp14:editId="0953EB4A">
                  <wp:extent cx="421580" cy="43646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21580" cy="436460"/>
                          </a:xfrm>
                          <a:prstGeom prst="rect">
                            <a:avLst/>
                          </a:prstGeom>
                          <a:ln/>
                        </pic:spPr>
                      </pic:pic>
                    </a:graphicData>
                  </a:graphic>
                </wp:inline>
              </w:drawing>
            </w:r>
          </w:p>
          <w:p w14:paraId="65CC8F1B" w14:textId="77777777" w:rsidR="001615C3" w:rsidRDefault="001615C3">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739AF2B8" w14:textId="77777777" w:rsidR="001615C3" w:rsidRDefault="007D2D26">
            <w:pPr>
              <w:pBdr>
                <w:top w:val="nil"/>
                <w:left w:val="nil"/>
                <w:bottom w:val="nil"/>
                <w:right w:val="nil"/>
                <w:between w:val="nil"/>
              </w:pBdr>
              <w:shd w:val="clear" w:color="auto" w:fill="FFFFFF"/>
              <w:rPr>
                <w:color w:val="201F1E"/>
              </w:rPr>
            </w:pPr>
            <w:r>
              <w:rPr>
                <w:color w:val="201F1E"/>
              </w:rPr>
              <w:t>For example, review of subject knowledge, relevant CPD, arrangements for upcoming lesson observation, school/department events etc.</w:t>
            </w:r>
          </w:p>
          <w:p w14:paraId="1A5E7CF9" w14:textId="77777777" w:rsidR="001615C3" w:rsidRDefault="001615C3">
            <w:pPr>
              <w:pBdr>
                <w:top w:val="nil"/>
                <w:left w:val="nil"/>
                <w:bottom w:val="nil"/>
                <w:right w:val="nil"/>
                <w:between w:val="nil"/>
              </w:pBdr>
              <w:shd w:val="clear" w:color="auto" w:fill="FFFFFF"/>
              <w:rPr>
                <w:color w:val="201F1E"/>
              </w:rPr>
            </w:pPr>
          </w:p>
          <w:p w14:paraId="35ED2750" w14:textId="77777777" w:rsidR="001615C3" w:rsidRDefault="001615C3">
            <w:pPr>
              <w:pBdr>
                <w:top w:val="nil"/>
                <w:left w:val="nil"/>
                <w:bottom w:val="nil"/>
                <w:right w:val="nil"/>
                <w:between w:val="nil"/>
              </w:pBdr>
              <w:shd w:val="clear" w:color="auto" w:fill="FFFFFF"/>
              <w:rPr>
                <w:color w:val="201F1E"/>
              </w:rPr>
            </w:pPr>
          </w:p>
          <w:p w14:paraId="6609ED25" w14:textId="77777777" w:rsidR="001615C3" w:rsidRDefault="001615C3">
            <w:pPr>
              <w:pBdr>
                <w:top w:val="nil"/>
                <w:left w:val="nil"/>
                <w:bottom w:val="nil"/>
                <w:right w:val="nil"/>
                <w:between w:val="nil"/>
              </w:pBdr>
              <w:shd w:val="clear" w:color="auto" w:fill="FFFFFF"/>
              <w:rPr>
                <w:color w:val="201F1E"/>
              </w:rPr>
            </w:pPr>
          </w:p>
          <w:p w14:paraId="25DB906A" w14:textId="77777777" w:rsidR="001615C3" w:rsidRDefault="001615C3">
            <w:pPr>
              <w:pBdr>
                <w:top w:val="nil"/>
                <w:left w:val="nil"/>
                <w:bottom w:val="nil"/>
                <w:right w:val="nil"/>
                <w:between w:val="nil"/>
              </w:pBdr>
              <w:shd w:val="clear" w:color="auto" w:fill="FFFFFF"/>
              <w:ind w:left="720"/>
              <w:rPr>
                <w:color w:val="201F1E"/>
              </w:rPr>
            </w:pPr>
          </w:p>
        </w:tc>
      </w:tr>
      <w:tr w:rsidR="001615C3" w14:paraId="163146C9" w14:textId="77777777">
        <w:trPr>
          <w:trHeight w:val="602"/>
        </w:trPr>
        <w:tc>
          <w:tcPr>
            <w:tcW w:w="1887" w:type="dxa"/>
            <w:vMerge w:val="restart"/>
            <w:tcBorders>
              <w:top w:val="single" w:sz="4" w:space="0" w:color="000000"/>
              <w:left w:val="single" w:sz="4" w:space="0" w:color="000000"/>
              <w:right w:val="single" w:sz="4" w:space="0" w:color="000000"/>
            </w:tcBorders>
          </w:tcPr>
          <w:p w14:paraId="79ADF4F1" w14:textId="77777777" w:rsidR="001615C3" w:rsidRDefault="007D2D26">
            <w:pPr>
              <w:spacing w:line="237" w:lineRule="auto"/>
              <w:jc w:val="center"/>
              <w:rPr>
                <w:b/>
              </w:rPr>
            </w:pPr>
            <w:r>
              <w:rPr>
                <w:b/>
              </w:rPr>
              <w:t>Trainee workload and well-being</w:t>
            </w:r>
            <w:r>
              <w:rPr>
                <w:noProof/>
              </w:rPr>
              <w:drawing>
                <wp:inline distT="0" distB="0" distL="0" distR="0" wp14:anchorId="73762323" wp14:editId="162EEAD5">
                  <wp:extent cx="610344" cy="610344"/>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19AC427" w14:textId="77777777" w:rsidR="001615C3" w:rsidRDefault="007D2D26">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4963D6B9" w14:textId="77777777" w:rsidR="001615C3" w:rsidRDefault="007D2D26">
            <w:pPr>
              <w:jc w:val="center"/>
              <w:rPr>
                <w:b/>
              </w:rPr>
            </w:pPr>
            <w:r>
              <w:rPr>
                <w:b/>
              </w:rPr>
              <w:t>Y/N</w:t>
            </w:r>
          </w:p>
        </w:tc>
      </w:tr>
      <w:tr w:rsidR="001615C3" w14:paraId="6582450E" w14:textId="77777777">
        <w:trPr>
          <w:trHeight w:val="602"/>
        </w:trPr>
        <w:tc>
          <w:tcPr>
            <w:tcW w:w="1887" w:type="dxa"/>
            <w:vMerge/>
            <w:tcBorders>
              <w:top w:val="single" w:sz="4" w:space="0" w:color="000000"/>
              <w:left w:val="single" w:sz="4" w:space="0" w:color="000000"/>
              <w:right w:val="single" w:sz="4" w:space="0" w:color="000000"/>
            </w:tcBorders>
          </w:tcPr>
          <w:p w14:paraId="7B753CBF" w14:textId="77777777" w:rsidR="001615C3" w:rsidRDefault="001615C3">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BA86046" w14:textId="77777777" w:rsidR="001615C3" w:rsidRDefault="007D2D26">
            <w:pPr>
              <w:pBdr>
                <w:top w:val="nil"/>
                <w:left w:val="nil"/>
                <w:bottom w:val="nil"/>
                <w:right w:val="nil"/>
                <w:between w:val="nil"/>
              </w:pBdr>
              <w:shd w:val="clear" w:color="auto" w:fill="FFFFFF"/>
              <w:rPr>
                <w:color w:val="000000"/>
              </w:rPr>
            </w:pPr>
            <w:r>
              <w:rPr>
                <w:color w:val="000000"/>
              </w:rPr>
              <w:t>Actions or follow up (if needed)</w:t>
            </w:r>
          </w:p>
        </w:tc>
      </w:tr>
      <w:tr w:rsidR="001615C3" w14:paraId="2A9AFCED" w14:textId="77777777">
        <w:trPr>
          <w:trHeight w:val="602"/>
        </w:trPr>
        <w:tc>
          <w:tcPr>
            <w:tcW w:w="1887" w:type="dxa"/>
            <w:vMerge/>
            <w:tcBorders>
              <w:top w:val="single" w:sz="4" w:space="0" w:color="000000"/>
              <w:left w:val="single" w:sz="4" w:space="0" w:color="000000"/>
              <w:right w:val="single" w:sz="4" w:space="0" w:color="000000"/>
            </w:tcBorders>
          </w:tcPr>
          <w:p w14:paraId="51A00BF1" w14:textId="77777777" w:rsidR="001615C3" w:rsidRDefault="001615C3">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03F6FEF0" w14:textId="77777777" w:rsidR="001615C3" w:rsidRDefault="007D2D26">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359EDD42" w14:textId="77777777" w:rsidR="001615C3" w:rsidRDefault="007D2D26">
            <w:pPr>
              <w:jc w:val="center"/>
              <w:rPr>
                <w:b/>
              </w:rPr>
            </w:pPr>
            <w:r>
              <w:rPr>
                <w:b/>
              </w:rPr>
              <w:t>Y/N</w:t>
            </w:r>
          </w:p>
        </w:tc>
      </w:tr>
      <w:tr w:rsidR="001615C3" w14:paraId="7F714AEA" w14:textId="77777777">
        <w:trPr>
          <w:trHeight w:val="602"/>
        </w:trPr>
        <w:tc>
          <w:tcPr>
            <w:tcW w:w="1887" w:type="dxa"/>
            <w:tcBorders>
              <w:left w:val="single" w:sz="4" w:space="0" w:color="000000"/>
              <w:right w:val="single" w:sz="4" w:space="0" w:color="000000"/>
            </w:tcBorders>
          </w:tcPr>
          <w:p w14:paraId="16E5E2AC" w14:textId="77777777" w:rsidR="001615C3" w:rsidRDefault="001615C3">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0C359A68" w14:textId="77777777" w:rsidR="001615C3" w:rsidRDefault="007D2D26">
            <w:pPr>
              <w:pBdr>
                <w:top w:val="nil"/>
                <w:left w:val="nil"/>
                <w:bottom w:val="nil"/>
                <w:right w:val="nil"/>
                <w:between w:val="nil"/>
              </w:pBdr>
              <w:shd w:val="clear" w:color="auto" w:fill="FFFFFF"/>
              <w:rPr>
                <w:color w:val="000000"/>
              </w:rPr>
            </w:pPr>
            <w:r>
              <w:rPr>
                <w:color w:val="000000"/>
              </w:rPr>
              <w:t>Actions or follow up (if needed)</w:t>
            </w:r>
          </w:p>
        </w:tc>
      </w:tr>
      <w:tr w:rsidR="001615C3" w14:paraId="4B737B97" w14:textId="77777777">
        <w:trPr>
          <w:trHeight w:val="301"/>
        </w:trPr>
        <w:tc>
          <w:tcPr>
            <w:tcW w:w="1887" w:type="dxa"/>
            <w:vMerge w:val="restart"/>
            <w:tcBorders>
              <w:top w:val="single" w:sz="4" w:space="0" w:color="000000"/>
              <w:left w:val="single" w:sz="4" w:space="0" w:color="000000"/>
              <w:right w:val="single" w:sz="4" w:space="0" w:color="000000"/>
            </w:tcBorders>
          </w:tcPr>
          <w:p w14:paraId="3853E99F" w14:textId="77777777" w:rsidR="001615C3" w:rsidRDefault="007D2D26">
            <w:pPr>
              <w:spacing w:line="237" w:lineRule="auto"/>
              <w:jc w:val="center"/>
              <w:rPr>
                <w:b/>
              </w:rPr>
            </w:pPr>
            <w:r>
              <w:rPr>
                <w:b/>
              </w:rPr>
              <w:t xml:space="preserve">Opportunities identified for </w:t>
            </w:r>
            <w:r>
              <w:rPr>
                <w:b/>
              </w:rPr>
              <w:lastRenderedPageBreak/>
              <w:t>progress</w:t>
            </w:r>
            <w:r>
              <w:rPr>
                <w:noProof/>
              </w:rPr>
              <w:drawing>
                <wp:inline distT="0" distB="0" distL="0" distR="0" wp14:anchorId="20F39D43" wp14:editId="3CE4C970">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063640EC" w14:textId="77777777" w:rsidR="001615C3" w:rsidRDefault="007D2D26">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6A654E23" w14:textId="77777777" w:rsidR="001615C3" w:rsidRDefault="007D2D26">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1615C3" w14:paraId="151F14D7" w14:textId="77777777">
        <w:trPr>
          <w:trHeight w:val="301"/>
        </w:trPr>
        <w:tc>
          <w:tcPr>
            <w:tcW w:w="1887" w:type="dxa"/>
            <w:vMerge/>
            <w:tcBorders>
              <w:top w:val="single" w:sz="4" w:space="0" w:color="000000"/>
              <w:left w:val="single" w:sz="4" w:space="0" w:color="000000"/>
              <w:right w:val="single" w:sz="4" w:space="0" w:color="000000"/>
            </w:tcBorders>
          </w:tcPr>
          <w:p w14:paraId="285938C2" w14:textId="77777777" w:rsidR="001615C3" w:rsidRDefault="001615C3">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01E32958" w14:textId="77777777" w:rsidR="001615C3" w:rsidRDefault="007D2D26">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02B5D7A9" w14:textId="77777777" w:rsidR="001615C3" w:rsidRDefault="001615C3">
            <w:pPr>
              <w:pBdr>
                <w:top w:val="nil"/>
                <w:left w:val="nil"/>
                <w:bottom w:val="nil"/>
                <w:right w:val="nil"/>
                <w:between w:val="nil"/>
              </w:pBdr>
              <w:shd w:val="clear" w:color="auto" w:fill="FFFFFF"/>
              <w:rPr>
                <w:b/>
                <w:color w:val="201F1E"/>
              </w:rPr>
            </w:pPr>
          </w:p>
        </w:tc>
      </w:tr>
      <w:tr w:rsidR="001615C3" w14:paraId="0AA06471" w14:textId="77777777">
        <w:trPr>
          <w:trHeight w:val="301"/>
        </w:trPr>
        <w:tc>
          <w:tcPr>
            <w:tcW w:w="1887" w:type="dxa"/>
            <w:vMerge/>
            <w:tcBorders>
              <w:top w:val="single" w:sz="4" w:space="0" w:color="000000"/>
              <w:left w:val="single" w:sz="4" w:space="0" w:color="000000"/>
              <w:right w:val="single" w:sz="4" w:space="0" w:color="000000"/>
            </w:tcBorders>
          </w:tcPr>
          <w:p w14:paraId="646F272F" w14:textId="77777777" w:rsidR="001615C3" w:rsidRDefault="001615C3">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173F194D" w14:textId="77777777" w:rsidR="001615C3" w:rsidRDefault="007D2D26">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6ABA5D76" w14:textId="77777777" w:rsidR="001615C3" w:rsidRDefault="001615C3">
            <w:pPr>
              <w:pBdr>
                <w:top w:val="nil"/>
                <w:left w:val="nil"/>
                <w:bottom w:val="nil"/>
                <w:right w:val="nil"/>
                <w:between w:val="nil"/>
              </w:pBdr>
              <w:shd w:val="clear" w:color="auto" w:fill="FFFFFF"/>
              <w:rPr>
                <w:b/>
                <w:color w:val="201F1E"/>
              </w:rPr>
            </w:pPr>
          </w:p>
        </w:tc>
      </w:tr>
      <w:tr w:rsidR="001615C3" w14:paraId="504928B7" w14:textId="77777777">
        <w:trPr>
          <w:trHeight w:val="301"/>
        </w:trPr>
        <w:tc>
          <w:tcPr>
            <w:tcW w:w="1887" w:type="dxa"/>
            <w:vMerge/>
            <w:tcBorders>
              <w:top w:val="single" w:sz="4" w:space="0" w:color="000000"/>
              <w:left w:val="single" w:sz="4" w:space="0" w:color="000000"/>
              <w:right w:val="single" w:sz="4" w:space="0" w:color="000000"/>
            </w:tcBorders>
          </w:tcPr>
          <w:p w14:paraId="4639FE18" w14:textId="77777777" w:rsidR="001615C3" w:rsidRDefault="001615C3">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39D5BDA7" w14:textId="77777777" w:rsidR="001615C3" w:rsidRDefault="007D2D26">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57D98ED3" w14:textId="77777777" w:rsidR="001615C3" w:rsidRDefault="001615C3">
            <w:pPr>
              <w:pBdr>
                <w:top w:val="nil"/>
                <w:left w:val="nil"/>
                <w:bottom w:val="nil"/>
                <w:right w:val="nil"/>
                <w:between w:val="nil"/>
              </w:pBdr>
              <w:shd w:val="clear" w:color="auto" w:fill="FFFFFF"/>
              <w:rPr>
                <w:b/>
                <w:color w:val="201F1E"/>
              </w:rPr>
            </w:pPr>
          </w:p>
        </w:tc>
      </w:tr>
      <w:tr w:rsidR="001615C3" w14:paraId="07D5AAD5"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21ABDC2F" w14:textId="77777777" w:rsidR="001615C3" w:rsidRDefault="007D2D26">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92AB989" w14:textId="77777777" w:rsidR="001615C3" w:rsidRDefault="007D2D26">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trainee is making sufficient progress through the curriculum.</w:t>
            </w:r>
          </w:p>
          <w:p w14:paraId="571C9B07" w14:textId="77777777" w:rsidR="001615C3" w:rsidRDefault="007D2D26">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F7448B6" w14:textId="77777777" w:rsidR="001615C3" w:rsidRDefault="001615C3">
            <w:pPr>
              <w:rPr>
                <w:rFonts w:ascii="Cambria" w:eastAsia="Cambria" w:hAnsi="Cambria" w:cs="Cambria"/>
                <w:b/>
                <w:sz w:val="20"/>
                <w:szCs w:val="20"/>
              </w:rPr>
            </w:pPr>
          </w:p>
          <w:p w14:paraId="2B1660E9" w14:textId="77777777" w:rsidR="001615C3" w:rsidRDefault="001615C3">
            <w:pPr>
              <w:rPr>
                <w:rFonts w:ascii="Cambria" w:eastAsia="Cambria" w:hAnsi="Cambria" w:cs="Cambria"/>
                <w:b/>
                <w:sz w:val="20"/>
                <w:szCs w:val="20"/>
              </w:rPr>
            </w:pPr>
          </w:p>
          <w:p w14:paraId="1490889D" w14:textId="77777777" w:rsidR="001615C3" w:rsidRDefault="007D2D26">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2B075EE8" w14:textId="77777777" w:rsidR="001615C3" w:rsidRDefault="001615C3">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1615C3" w14:paraId="1DDC9EE6" w14:textId="77777777">
        <w:trPr>
          <w:trHeight w:val="448"/>
        </w:trPr>
        <w:tc>
          <w:tcPr>
            <w:tcW w:w="2411" w:type="dxa"/>
            <w:shd w:val="clear" w:color="auto" w:fill="B4C6E7"/>
          </w:tcPr>
          <w:p w14:paraId="54D0C698" w14:textId="77777777" w:rsidR="001615C3" w:rsidRDefault="007D2D26">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685F86AA" w14:textId="77777777" w:rsidR="001615C3" w:rsidRDefault="001615C3">
            <w:pPr>
              <w:spacing w:after="0" w:line="240" w:lineRule="auto"/>
              <w:rPr>
                <w:rFonts w:ascii="Cambria" w:eastAsia="Cambria" w:hAnsi="Cambria" w:cs="Cambria"/>
                <w:b/>
              </w:rPr>
            </w:pPr>
          </w:p>
        </w:tc>
        <w:tc>
          <w:tcPr>
            <w:tcW w:w="9072" w:type="dxa"/>
            <w:vAlign w:val="center"/>
          </w:tcPr>
          <w:p w14:paraId="33BE129B" w14:textId="77777777" w:rsidR="001615C3" w:rsidRDefault="001615C3">
            <w:pPr>
              <w:spacing w:after="0" w:line="240" w:lineRule="auto"/>
              <w:rPr>
                <w:rFonts w:ascii="Cambria" w:eastAsia="Cambria" w:hAnsi="Cambria" w:cs="Cambria"/>
              </w:rPr>
            </w:pPr>
          </w:p>
        </w:tc>
      </w:tr>
      <w:tr w:rsidR="001615C3" w14:paraId="6F1B1F69" w14:textId="77777777">
        <w:trPr>
          <w:trHeight w:val="448"/>
        </w:trPr>
        <w:tc>
          <w:tcPr>
            <w:tcW w:w="2411" w:type="dxa"/>
            <w:shd w:val="clear" w:color="auto" w:fill="B4C6E7"/>
          </w:tcPr>
          <w:p w14:paraId="33C8A82F" w14:textId="77777777" w:rsidR="001615C3" w:rsidRDefault="007D2D26">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33E8E99E" w14:textId="77777777" w:rsidR="001615C3" w:rsidRDefault="001615C3">
            <w:pPr>
              <w:spacing w:after="0" w:line="240" w:lineRule="auto"/>
              <w:rPr>
                <w:rFonts w:ascii="Cambria" w:eastAsia="Cambria" w:hAnsi="Cambria" w:cs="Cambria"/>
                <w:b/>
              </w:rPr>
            </w:pPr>
          </w:p>
        </w:tc>
        <w:tc>
          <w:tcPr>
            <w:tcW w:w="9072" w:type="dxa"/>
            <w:vAlign w:val="center"/>
          </w:tcPr>
          <w:p w14:paraId="09572460" w14:textId="77777777" w:rsidR="001615C3" w:rsidRDefault="007D2D26">
            <w:pPr>
              <w:spacing w:after="0" w:line="240" w:lineRule="auto"/>
              <w:rPr>
                <w:rFonts w:ascii="Cambria" w:eastAsia="Cambria" w:hAnsi="Cambria" w:cs="Cambria"/>
              </w:rPr>
            </w:pPr>
            <w:r>
              <w:rPr>
                <w:rFonts w:ascii="Cambria" w:eastAsia="Cambria" w:hAnsi="Cambria" w:cs="Cambria"/>
              </w:rPr>
              <w:t xml:space="preserve"> </w:t>
            </w:r>
          </w:p>
        </w:tc>
      </w:tr>
      <w:tr w:rsidR="001615C3" w14:paraId="176ADB81" w14:textId="77777777">
        <w:trPr>
          <w:trHeight w:val="448"/>
        </w:trPr>
        <w:tc>
          <w:tcPr>
            <w:tcW w:w="11483" w:type="dxa"/>
            <w:gridSpan w:val="2"/>
            <w:shd w:val="clear" w:color="auto" w:fill="auto"/>
          </w:tcPr>
          <w:p w14:paraId="7E90E33F" w14:textId="77777777" w:rsidR="001615C3" w:rsidRDefault="007D2D26">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7973A1D3" w14:textId="77777777" w:rsidR="001615C3" w:rsidRDefault="001615C3">
      <w:pPr>
        <w:spacing w:after="0"/>
      </w:pPr>
    </w:p>
    <w:sectPr w:rsidR="001615C3">
      <w:headerReference w:type="default" r:id="rId1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A638" w14:textId="77777777" w:rsidR="007D2D26" w:rsidRDefault="007D2D26">
      <w:pPr>
        <w:spacing w:after="0" w:line="240" w:lineRule="auto"/>
      </w:pPr>
      <w:r>
        <w:separator/>
      </w:r>
    </w:p>
  </w:endnote>
  <w:endnote w:type="continuationSeparator" w:id="0">
    <w:p w14:paraId="16B39FDD" w14:textId="77777777" w:rsidR="007D2D26" w:rsidRDefault="007D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E0AA" w14:textId="77777777" w:rsidR="001615C3" w:rsidRDefault="007D2D2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1C3A057" w14:textId="77777777" w:rsidR="001615C3" w:rsidRDefault="001615C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AD13" w14:textId="77777777" w:rsidR="007D2D26" w:rsidRDefault="007D2D26">
      <w:pPr>
        <w:spacing w:after="0" w:line="240" w:lineRule="auto"/>
      </w:pPr>
      <w:r>
        <w:separator/>
      </w:r>
    </w:p>
  </w:footnote>
  <w:footnote w:type="continuationSeparator" w:id="0">
    <w:p w14:paraId="5FAA5CC7" w14:textId="77777777" w:rsidR="007D2D26" w:rsidRDefault="007D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755D" w14:textId="77777777" w:rsidR="001615C3" w:rsidRDefault="007D2D26">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66CDC17A" wp14:editId="7E8447C6">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C3"/>
    <w:rsid w:val="001615C3"/>
    <w:rsid w:val="007D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FA91"/>
  <w15:docId w15:val="{D936C91A-5DCD-4707-B5F5-22531B26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ric.ed.gov/?id=EJ705962"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isaaccomputerscience.org/gameboards/new?examBoard=all&amp;stage=all" TargetMode="Externa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4</DocSecurity>
  <Lines>35</Lines>
  <Paragraphs>10</Paragraphs>
  <ScaleCrop>false</ScaleCrop>
  <Company>Edge Hill University</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Sjay Patterson-Craven</cp:lastModifiedBy>
  <cp:revision>2</cp:revision>
  <dcterms:created xsi:type="dcterms:W3CDTF">2023-10-20T13:23:00Z</dcterms:created>
  <dcterms:modified xsi:type="dcterms:W3CDTF">2023-10-20T13:23:00Z</dcterms:modified>
</cp:coreProperties>
</file>