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3ECADF08"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6492464D">
            <w:pPr>
              <w:jc w:val="center"/>
              <w:rPr>
                <w:rFonts w:ascii="Cambria" w:hAnsi="Cambria" w:eastAsia="Georgia" w:cs="Georgia"/>
                <w:b w:val="1"/>
                <w:bCs w:val="1"/>
                <w:color w:val="FFFFFF" w:themeColor="background1"/>
                <w:sz w:val="20"/>
                <w:szCs w:val="20"/>
                <w:u w:val="single"/>
              </w:rPr>
            </w:pPr>
            <w:r w:rsidRPr="3ECADF08"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3ECADF08" w:rsidR="00966A4C">
              <w:rPr>
                <w:rFonts w:ascii="Cambria" w:hAnsi="Cambria" w:eastAsia="Georgia" w:cs="Georgia"/>
                <w:b w:val="1"/>
                <w:bCs w:val="1"/>
                <w:color w:val="FFFFFF" w:themeColor="background1" w:themeTint="FF" w:themeShade="FF"/>
                <w:sz w:val="20"/>
                <w:szCs w:val="20"/>
              </w:rPr>
              <w:t xml:space="preserve"> (AY 2</w:t>
            </w:r>
            <w:r w:rsidRPr="3ECADF08" w:rsidR="002D71BC">
              <w:rPr>
                <w:rFonts w:ascii="Cambria" w:hAnsi="Cambria" w:eastAsia="Georgia" w:cs="Georgia"/>
                <w:b w:val="1"/>
                <w:bCs w:val="1"/>
                <w:color w:val="FFFFFF" w:themeColor="background1" w:themeTint="FF" w:themeShade="FF"/>
                <w:sz w:val="20"/>
                <w:szCs w:val="20"/>
              </w:rPr>
              <w:t>3</w:t>
            </w:r>
            <w:r w:rsidRPr="3ECADF08" w:rsidR="00966A4C">
              <w:rPr>
                <w:rFonts w:ascii="Cambria" w:hAnsi="Cambria" w:eastAsia="Georgia" w:cs="Georgia"/>
                <w:b w:val="1"/>
                <w:bCs w:val="1"/>
                <w:color w:val="FFFFFF" w:themeColor="background1" w:themeTint="FF" w:themeShade="FF"/>
                <w:sz w:val="20"/>
                <w:szCs w:val="20"/>
              </w:rPr>
              <w:t>/2</w:t>
            </w:r>
            <w:r w:rsidRPr="3ECADF08" w:rsidR="002D71BC">
              <w:rPr>
                <w:rFonts w:ascii="Cambria" w:hAnsi="Cambria" w:eastAsia="Georgia" w:cs="Georgia"/>
                <w:b w:val="1"/>
                <w:bCs w:val="1"/>
                <w:color w:val="FFFFFF" w:themeColor="background1" w:themeTint="FF" w:themeShade="FF"/>
                <w:sz w:val="20"/>
                <w:szCs w:val="20"/>
              </w:rPr>
              <w:t>4</w:t>
            </w:r>
            <w:r w:rsidRPr="3ECADF08" w:rsidR="00966A4C">
              <w:rPr>
                <w:rFonts w:ascii="Cambria" w:hAnsi="Cambria" w:eastAsia="Georgia" w:cs="Georgia"/>
                <w:b w:val="1"/>
                <w:bCs w:val="1"/>
                <w:color w:val="FFFFFF" w:themeColor="background1" w:themeTint="FF" w:themeShade="FF"/>
                <w:sz w:val="20"/>
                <w:szCs w:val="20"/>
              </w:rPr>
              <w:t>)</w:t>
            </w:r>
            <w:r w:rsidRPr="3ECADF08" w:rsidR="00B56665">
              <w:rPr>
                <w:rFonts w:ascii="Cambria" w:hAnsi="Cambria" w:eastAsia="Georgia" w:cs="Georgia"/>
                <w:b w:val="1"/>
                <w:bCs w:val="1"/>
                <w:color w:val="FFFFFF" w:themeColor="background1" w:themeTint="FF" w:themeShade="FF"/>
                <w:sz w:val="20"/>
                <w:szCs w:val="20"/>
              </w:rPr>
              <w:t xml:space="preserve"> </w:t>
            </w:r>
            <w:r w:rsidRPr="3ECADF08" w:rsidR="006102D0">
              <w:rPr>
                <w:rFonts w:ascii="Cambria" w:hAnsi="Cambria" w:eastAsia="Georgia" w:cs="Georgia"/>
                <w:b w:val="1"/>
                <w:bCs w:val="1"/>
                <w:color w:val="FFFFFF" w:themeColor="background1" w:themeTint="FF" w:themeShade="FF"/>
                <w:sz w:val="20"/>
                <w:szCs w:val="20"/>
                <w:u w:val="single"/>
              </w:rPr>
              <w:t xml:space="preserve">Week </w:t>
            </w:r>
            <w:r w:rsidRPr="3ECADF08" w:rsidR="02498DF2">
              <w:rPr>
                <w:rFonts w:ascii="Cambria" w:hAnsi="Cambria" w:eastAsia="Georgia" w:cs="Georgia"/>
                <w:b w:val="1"/>
                <w:bCs w:val="1"/>
                <w:color w:val="FFFFFF" w:themeColor="background1" w:themeTint="FF" w:themeShade="FF"/>
                <w:sz w:val="20"/>
                <w:szCs w:val="20"/>
                <w:u w:val="single"/>
              </w:rPr>
              <w:t>1</w:t>
            </w:r>
            <w:r w:rsidRPr="3ECADF08" w:rsidR="797409E7">
              <w:rPr>
                <w:rFonts w:ascii="Cambria" w:hAnsi="Cambria" w:eastAsia="Georgia" w:cs="Georgia"/>
                <w:b w:val="1"/>
                <w:bCs w:val="1"/>
                <w:color w:val="FFFFFF" w:themeColor="background1" w:themeTint="FF" w:themeShade="FF"/>
                <w:sz w:val="20"/>
                <w:szCs w:val="20"/>
                <w:u w:val="single"/>
              </w:rPr>
              <w:t>4</w:t>
            </w:r>
          </w:p>
        </w:tc>
      </w:tr>
      <w:tr w:rsidRPr="00F07217" w:rsidR="00E65DEB" w:rsidTr="3ECADF08"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3ECADF08"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3ECADF08"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7061C386" w14:textId="2044BB5C">
            <w:pPr>
              <w:jc w:val="both"/>
              <w:rPr>
                <w:rFonts w:ascii="Cambria" w:hAnsi="Cambria"/>
                <w:b/>
                <w:bCs/>
                <w:sz w:val="20"/>
                <w:szCs w:val="20"/>
              </w:rPr>
            </w:pPr>
            <w:r>
              <w:rPr>
                <w:rFonts w:ascii="Cambria" w:hAnsi="Cambria"/>
                <w:b/>
                <w:bCs/>
                <w:sz w:val="20"/>
                <w:szCs w:val="20"/>
              </w:rPr>
              <w:t>Introductory (A)</w:t>
            </w:r>
          </w:p>
        </w:tc>
      </w:tr>
      <w:tr w:rsidRPr="00F07217" w:rsidR="004009A7" w:rsidTr="3ECADF08"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3ECADF08"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59B9767D" w14:paraId="2E3558FD" w14:textId="56703876">
            <w:pPr>
              <w:jc w:val="both"/>
              <w:rPr>
                <w:rFonts w:ascii="Cambria" w:hAnsi="Cambria"/>
                <w:b w:val="1"/>
                <w:bCs w:val="1"/>
                <w:sz w:val="20"/>
                <w:szCs w:val="20"/>
              </w:rPr>
            </w:pPr>
            <w:r w:rsidRPr="3ECADF08" w:rsidR="59B9767D">
              <w:rPr>
                <w:rFonts w:ascii="Cambria" w:hAnsi="Cambria"/>
                <w:b w:val="1"/>
                <w:bCs w:val="1"/>
                <w:sz w:val="20"/>
                <w:szCs w:val="20"/>
              </w:rPr>
              <w:t>2</w:t>
            </w:r>
            <w:r w:rsidRPr="3ECADF08" w:rsidR="377FBC2E">
              <w:rPr>
                <w:rFonts w:ascii="Cambria" w:hAnsi="Cambria"/>
                <w:b w:val="1"/>
                <w:bCs w:val="1"/>
                <w:sz w:val="20"/>
                <w:szCs w:val="20"/>
              </w:rPr>
              <w:t>7/11/23</w:t>
            </w:r>
          </w:p>
        </w:tc>
      </w:tr>
      <w:tr w:rsidRPr="00F07217" w:rsidR="001506CA" w:rsidTr="3ECADF08"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1506CA" w14:paraId="02A5213D" w14:textId="596149F4">
            <w:pPr>
              <w:jc w:val="center"/>
              <w:rPr>
                <w:rFonts w:ascii="Cambria" w:hAnsi="Cambria"/>
                <w:b/>
                <w:bCs/>
                <w:sz w:val="20"/>
                <w:szCs w:val="20"/>
                <w:highlight w:val="yellow"/>
              </w:rPr>
            </w:pPr>
            <w:r w:rsidRPr="29DEEEAF">
              <w:rPr>
                <w:rFonts w:ascii="Cambria" w:hAnsi="Cambria"/>
                <w:b/>
                <w:bCs/>
                <w:sz w:val="20"/>
                <w:szCs w:val="20"/>
                <w:highlight w:val="yellow"/>
              </w:rPr>
              <w:t>M</w:t>
            </w:r>
            <w:r w:rsidRPr="29DEEEAF" w:rsidR="005113AE">
              <w:rPr>
                <w:rFonts w:ascii="Cambria" w:hAnsi="Cambria"/>
                <w:b/>
                <w:bCs/>
                <w:sz w:val="20"/>
                <w:szCs w:val="20"/>
                <w:highlight w:val="yellow"/>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13F8C042" w14:textId="5CF285E3">
            <w:pPr>
              <w:jc w:val="center"/>
              <w:rPr>
                <w:rFonts w:ascii="Cambria" w:hAnsi="Cambria"/>
                <w:b/>
                <w:bCs/>
                <w:sz w:val="20"/>
                <w:szCs w:val="20"/>
                <w:highlight w:val="yellow"/>
              </w:rPr>
            </w:pPr>
            <w:r w:rsidRPr="29DEEEAF">
              <w:rPr>
                <w:rFonts w:ascii="Cambria" w:hAnsi="Cambria"/>
                <w:b/>
                <w:bCs/>
                <w:sz w:val="20"/>
                <w:szCs w:val="20"/>
                <w:highlight w:val="yellow"/>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3ECADF08" w14:paraId="0EB57F5F" w14:textId="77777777">
        <w:trPr>
          <w:trHeight w:val="649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38272833" w:rsidP="3ECADF08" w:rsidRDefault="38272833" w14:paraId="593AB2C7" w14:textId="7E684407">
            <w:pPr>
              <w:pStyle w:val="NormalWeb"/>
              <w:spacing w:before="0" w:beforeAutospacing="off" w:after="0" w:afterAutospacing="off"/>
              <w:rPr>
                <w:rFonts w:ascii="Calibri" w:hAnsi="Calibri" w:eastAsia="Calibri" w:cs="Calibri" w:asciiTheme="minorAscii" w:hAnsiTheme="minorAscii" w:eastAsiaTheme="minorAscii" w:cstheme="minorAscii"/>
                <w:noProof w:val="0"/>
                <w:lang w:val="en-GB"/>
              </w:rPr>
            </w:pPr>
            <w:r w:rsidRPr="3ECADF08" w:rsidR="38272833">
              <w:rPr>
                <w:rFonts w:ascii="Calibri" w:hAnsi="Calibri" w:eastAsia="Calibri" w:cs="Calibri" w:asciiTheme="minorAscii" w:hAnsiTheme="minorAscii" w:eastAsiaTheme="minorAscii" w:cstheme="minorAscii"/>
                <w:noProof w:val="0"/>
                <w:lang w:val="en-GB"/>
              </w:rPr>
              <w:t xml:space="preserve">Embedding Formative Assessment Evaluation report and executive summary July 2018 – Educational </w:t>
            </w:r>
            <w:r w:rsidRPr="3ECADF08" w:rsidR="739FDEBF">
              <w:rPr>
                <w:rFonts w:ascii="Calibri" w:hAnsi="Calibri" w:eastAsia="Calibri" w:cs="Calibri" w:asciiTheme="minorAscii" w:hAnsiTheme="minorAscii" w:eastAsiaTheme="minorAscii" w:cstheme="minorAscii"/>
                <w:noProof w:val="0"/>
                <w:lang w:val="en-GB"/>
              </w:rPr>
              <w:t>Endowment Foundation</w:t>
            </w:r>
          </w:p>
          <w:p w:rsidR="3ECADF08" w:rsidP="3ECADF08" w:rsidRDefault="3ECADF08" w14:paraId="34D7D8E9" w14:textId="2F89A2EF">
            <w:pPr>
              <w:pStyle w:val="NormalWeb"/>
              <w:shd w:val="clear" w:color="auto" w:fill="FFFFFF" w:themeFill="background1"/>
              <w:spacing w:before="0" w:beforeAutospacing="off" w:after="0" w:afterAutospacing="off"/>
              <w:rPr>
                <w:rFonts w:ascii="Calibri" w:hAnsi="Calibri" w:eastAsia="游明朝" w:cs="Arial" w:asciiTheme="minorAscii" w:hAnsiTheme="minorAscii" w:eastAsiaTheme="minorEastAsia" w:cstheme="minorBidi"/>
                <w:b w:val="1"/>
                <w:bCs w:val="1"/>
                <w:color w:val="374151"/>
              </w:rPr>
            </w:pPr>
          </w:p>
          <w:p w:rsidR="6FF9FDC2" w:rsidP="1B4859F2" w:rsidRDefault="6FF9FDC2" w14:paraId="11EA75F1" w14:textId="54DD926C">
            <w:pPr>
              <w:pStyle w:val="NormalWeb"/>
              <w:shd w:val="clear" w:color="auto" w:fill="FFFFFF" w:themeFill="background1"/>
              <w:spacing w:before="0" w:beforeAutospacing="0" w:after="0" w:afterAutospacing="0"/>
              <w:rPr>
                <w:rFonts w:asciiTheme="minorHAnsi" w:hAnsiTheme="minorHAnsi" w:eastAsiaTheme="minorEastAsia" w:cstheme="minorBidi"/>
                <w:b/>
                <w:bCs/>
                <w:color w:val="374151"/>
              </w:rPr>
            </w:pPr>
            <w:r w:rsidRPr="3ECADF08" w:rsidR="6FF9FDC2">
              <w:rPr>
                <w:rFonts w:ascii="Calibri" w:hAnsi="Calibri" w:eastAsia="游明朝" w:cs="Arial" w:asciiTheme="minorAscii" w:hAnsiTheme="minorAscii" w:eastAsiaTheme="minorEastAsia" w:cstheme="minorBidi"/>
                <w:b w:val="1"/>
                <w:bCs w:val="1"/>
                <w:color w:val="374151"/>
              </w:rPr>
              <w:t>Summary</w:t>
            </w:r>
          </w:p>
          <w:p w:rsidR="552A6478" w:rsidP="3ECADF08" w:rsidRDefault="552A6478" w14:paraId="3BB954B0" w14:textId="7AF9066F">
            <w:pPr>
              <w:pStyle w:val="Normal"/>
              <w:spacing w:before="0" w:beforeAutospacing="0" w:after="0" w:afterAutospacing="0"/>
            </w:pPr>
            <w:r w:rsidR="13D06A63">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p>
          <w:p w:rsidR="552A6478" w:rsidP="3ECADF08" w:rsidRDefault="552A6478" w14:paraId="50693691" w14:textId="3FF42E57">
            <w:pPr>
              <w:pStyle w:val="Normal"/>
              <w:spacing w:before="0" w:beforeAutospacing="0" w:after="0" w:afterAutospacing="0"/>
            </w:pPr>
            <w:r w:rsidR="13D06A63">
              <w:rPr/>
              <w:t xml:space="preserve"> </w:t>
            </w:r>
          </w:p>
          <w:p w:rsidR="552A6478" w:rsidP="3ECADF08" w:rsidRDefault="552A6478" w14:paraId="3B85376E" w14:textId="1CA64EE6">
            <w:pPr>
              <w:pStyle w:val="Normal"/>
              <w:spacing w:before="0" w:beforeAutospacing="0" w:after="0" w:afterAutospacing="0"/>
              <w:rPr>
                <w:b w:val="1"/>
                <w:bCs w:val="1"/>
              </w:rPr>
            </w:pPr>
            <w:r w:rsidRPr="3ECADF08" w:rsidR="13D06A63">
              <w:rPr>
                <w:b w:val="1"/>
                <w:bCs w:val="1"/>
              </w:rPr>
              <w:t>Limitations</w:t>
            </w:r>
          </w:p>
          <w:p w:rsidR="552A6478" w:rsidP="3ECADF08" w:rsidRDefault="552A6478" w14:paraId="135A40DB" w14:textId="55EF6C66">
            <w:pPr>
              <w:pStyle w:val="Normal"/>
              <w:spacing w:before="0" w:beforeAutospacing="0" w:after="0" w:afterAutospacing="0"/>
            </w:pPr>
            <w:r w:rsidR="13D06A63">
              <w:rPr/>
              <w:t>12 schools dropped out, no improved attainment in Maths and English, only year 10 involved and teachers felt EFA lacked practical guidance for implementation.</w:t>
            </w:r>
          </w:p>
          <w:p w:rsidR="552A6478" w:rsidP="3ECADF08" w:rsidRDefault="552A6478" w14:paraId="2BBECACB" w14:textId="6789812A">
            <w:pPr>
              <w:pStyle w:val="Normal"/>
              <w:spacing w:before="0" w:beforeAutospacing="0" w:after="0" w:afterAutospacing="0"/>
            </w:pPr>
          </w:p>
          <w:p w:rsidR="552A6478" w:rsidP="3ECADF08" w:rsidRDefault="552A6478" w14:paraId="0AFAA358" w14:textId="1E3EBB99">
            <w:pPr>
              <w:pStyle w:val="Normal"/>
              <w:spacing w:before="0" w:beforeAutospacing="0" w:after="0" w:afterAutospacing="0"/>
            </w:pPr>
            <w:hyperlink r:id="R5b70e4f9883c44a4">
              <w:r w:rsidRPr="3ECADF08" w:rsidR="13D06A63">
                <w:rPr>
                  <w:rStyle w:val="Hyperlink"/>
                </w:rPr>
                <w:t>https://dera.ioe.ac.uk/id/eprint/32012/1/EFA_evaluation_report.pdf</w:t>
              </w:r>
            </w:hyperlink>
          </w:p>
          <w:p w:rsidRPr="00523D39" w:rsidR="00866227" w:rsidP="00F45E23" w:rsidRDefault="00866227" w14:paraId="6071F449" w14:textId="1A8932F4">
            <w:pPr>
              <w:jc w:val="both"/>
              <w:rPr>
                <w:rFonts w:ascii="Cambria" w:hAnsi="Cambria" w:cstheme="minorHAnsi"/>
                <w:b/>
                <w:bCs/>
                <w:sz w:val="20"/>
                <w:szCs w:val="20"/>
              </w:rPr>
            </w:pPr>
          </w:p>
        </w:tc>
      </w:tr>
      <w:tr w:rsidRPr="00F07217" w:rsidR="00B5000E" w:rsidTr="3ECADF08"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Pr="0096374D" w:rsidR="007F45A4" w:rsidP="3ECADF08" w:rsidRDefault="007F45A4" w14:paraId="24FAAFC0" w14:textId="475F1A1F">
            <w:pPr>
              <w:pStyle w:val="xmsolistparagraph"/>
              <w:spacing w:before="0" w:beforeAutospacing="off" w:after="0" w:afterAutospacing="off"/>
              <w:rPr>
                <w:rStyle w:val="eop"/>
                <w:rFonts w:ascii="Calibri" w:hAnsi="Calibri" w:eastAsia="Calibri" w:cs="Calibri" w:asciiTheme="minorAscii" w:hAnsiTheme="minorAscii" w:eastAsiaTheme="minorAscii" w:cstheme="minorAscii"/>
                <w:color w:val="000000" w:themeColor="text1" w:themeTint="FF" w:themeShade="FF"/>
                <w:sz w:val="22"/>
                <w:szCs w:val="22"/>
              </w:rPr>
            </w:pPr>
            <w:r w:rsidRPr="3ECADF08" w:rsidR="41BAFADB">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Hammond, K. (2014a) ‘The knowledge that “flavours” a claim: towards building and assessing historical knowledge on three scales’ in Teaching History, 157.  </w:t>
            </w:r>
          </w:p>
          <w:p w:rsidRPr="0096374D" w:rsidR="007F45A4" w:rsidP="3ECADF08" w:rsidRDefault="007F45A4" w14:paraId="3364B96B" w14:textId="4B8C3047">
            <w:pPr>
              <w:pStyle w:val="xmsolistparagraph"/>
              <w:spacing w:before="0" w:beforeAutospacing="off" w:after="0" w:afterAutospacing="off"/>
              <w:rPr>
                <w:rStyle w:val="eop"/>
                <w:rFonts w:ascii="Calibri" w:hAnsi="Calibri" w:eastAsia="Calibri" w:cs="Calibri" w:asciiTheme="minorAscii" w:hAnsiTheme="minorAscii" w:eastAsiaTheme="minorAscii" w:cstheme="minorAscii"/>
                <w:color w:val="000000" w:themeColor="text1" w:themeTint="FF" w:themeShade="FF"/>
                <w:sz w:val="22"/>
                <w:szCs w:val="22"/>
              </w:rPr>
            </w:pPr>
          </w:p>
          <w:p w:rsidRPr="0096374D" w:rsidR="007F45A4" w:rsidP="3ECADF08" w:rsidRDefault="007F45A4" w14:paraId="49CEE981" w14:textId="609F0A91">
            <w:pPr>
              <w:pStyle w:val="xmsolistparagraph"/>
              <w:spacing w:before="0" w:beforeAutospacing="off" w:after="0" w:afterAutospacing="off"/>
              <w:rPr>
                <w:rStyle w:val="eop"/>
                <w:rFonts w:ascii="Calibri" w:hAnsi="Calibri" w:eastAsia="Calibri" w:cs="Calibri" w:asciiTheme="minorAscii" w:hAnsiTheme="minorAscii" w:eastAsiaTheme="minorAscii" w:cstheme="minorAscii"/>
                <w:color w:val="000000" w:themeColor="text1" w:themeTint="FF" w:themeShade="FF"/>
                <w:sz w:val="22"/>
                <w:szCs w:val="22"/>
              </w:rPr>
            </w:pPr>
            <w:r w:rsidRPr="3ECADF08" w:rsidR="2F0B69D1">
              <w:rPr>
                <w:rStyle w:val="eop"/>
                <w:rFonts w:ascii="Calibri" w:hAnsi="Calibri" w:eastAsia="Calibri" w:cs="Calibri" w:asciiTheme="minorAscii" w:hAnsiTheme="minorAscii" w:eastAsiaTheme="minorAscii" w:cstheme="minorAscii"/>
                <w:color w:val="000000" w:themeColor="text1" w:themeTint="FF" w:themeShade="FF"/>
                <w:sz w:val="22"/>
                <w:szCs w:val="22"/>
              </w:rPr>
              <w:t>In this</w:t>
            </w:r>
            <w:r w:rsidRPr="3ECADF08" w:rsidR="2F0B69D1">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article, </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Kate Hammond looks at historical knowledge and </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atte</w:t>
            </w:r>
            <w:r w:rsidRPr="3ECADF08" w:rsidR="1D7AEBB6">
              <w:rPr>
                <w:rStyle w:val="eop"/>
                <w:rFonts w:ascii="Calibri" w:hAnsi="Calibri" w:eastAsia="Calibri" w:cs="Calibri" w:asciiTheme="minorAscii" w:hAnsiTheme="minorAscii" w:eastAsiaTheme="minorAscii" w:cstheme="minorAscii"/>
                <w:color w:val="000000" w:themeColor="text1" w:themeTint="FF" w:themeShade="FF"/>
                <w:sz w:val="22"/>
                <w:szCs w:val="22"/>
              </w:rPr>
              <w:t>mpts</w:t>
            </w:r>
            <w:r w:rsidRPr="3ECADF08" w:rsidR="1D7AEBB6">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to</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classify the types of historical knowledge t</w:t>
            </w:r>
            <w:r w:rsidRPr="3ECADF08" w:rsidR="72A540F3">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o enable </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students to</w:t>
            </w:r>
            <w:r w:rsidRPr="3ECADF08" w:rsidR="06B72B9C">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not only</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gain high marks but to do so with a fluency and security that marked them out from the rest. </w:t>
            </w:r>
            <w:r w:rsidRPr="3ECADF08" w:rsidR="7185978E">
              <w:rPr>
                <w:rStyle w:val="eop"/>
                <w:rFonts w:ascii="Calibri" w:hAnsi="Calibri" w:eastAsia="Calibri" w:cs="Calibri" w:asciiTheme="minorAscii" w:hAnsiTheme="minorAscii" w:eastAsiaTheme="minorAscii" w:cstheme="minorAscii"/>
                <w:color w:val="000000" w:themeColor="text1" w:themeTint="FF" w:themeShade="FF"/>
                <w:sz w:val="22"/>
                <w:szCs w:val="22"/>
              </w:rPr>
              <w:t>Kate considers</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how these layers of knowledge were making effective historical analysis possible. Her research led her to question a teaching approach that is driven by GCSE mark-schemes rather than by a determination to build deeper and more wide-ranging knowledge. It also led her to rethink the </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mark</w:t>
            </w:r>
            <w:r w:rsidRPr="3ECADF08" w:rsidR="6E30F3B7">
              <w:rPr>
                <w:rStyle w:val="eop"/>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3ECADF08" w:rsidR="5C1FD0E7">
              <w:rPr>
                <w:rStyle w:val="eop"/>
                <w:rFonts w:ascii="Calibri" w:hAnsi="Calibri" w:eastAsia="Calibri" w:cs="Calibri" w:asciiTheme="minorAscii" w:hAnsiTheme="minorAscii" w:eastAsiaTheme="minorAscii" w:cstheme="minorAscii"/>
                <w:color w:val="000000" w:themeColor="text1" w:themeTint="FF" w:themeShade="FF"/>
                <w:sz w:val="22"/>
                <w:szCs w:val="22"/>
              </w:rPr>
              <w:t>schemes themselves.</w:t>
            </w:r>
          </w:p>
          <w:p w:rsidRPr="0096374D" w:rsidR="007F45A4" w:rsidP="3ECADF08" w:rsidRDefault="007F45A4" w14:paraId="2458D50D" w14:textId="546FCADC">
            <w:pPr>
              <w:pStyle w:val="xmsolistparagraph"/>
              <w:spacing w:before="0" w:beforeAutospacing="off" w:after="0" w:afterAutospacing="off"/>
              <w:rPr>
                <w:rStyle w:val="eop"/>
                <w:rFonts w:ascii="Calibri" w:hAnsi="Calibri" w:eastAsia="Calibri" w:cs="Calibri" w:asciiTheme="minorAscii" w:hAnsiTheme="minorAscii" w:eastAsiaTheme="minorAscii" w:cstheme="minorAscii"/>
                <w:color w:val="000000" w:themeColor="text1" w:themeTint="FF" w:themeShade="FF"/>
                <w:sz w:val="22"/>
                <w:szCs w:val="22"/>
              </w:rPr>
            </w:pPr>
          </w:p>
          <w:p w:rsidRPr="0096374D" w:rsidR="007F45A4" w:rsidP="3ECADF08" w:rsidRDefault="007F45A4" w14:paraId="2F0BC44D" w14:textId="33BCA663">
            <w:pPr>
              <w:pStyle w:val="xmsolistparagraph"/>
              <w:spacing w:before="0" w:beforeAutospacing="off" w:after="0" w:afterAutospacing="off"/>
              <w:rPr>
                <w:noProof w:val="0"/>
                <w:lang w:val="en-GB"/>
              </w:rPr>
            </w:pPr>
            <w:hyperlink r:id="R3f3d01c4cf094820">
              <w:r w:rsidRPr="3ECADF08" w:rsidR="2F0B69D1">
                <w:rPr>
                  <w:rStyle w:val="Hyperlink"/>
                  <w:noProof w:val="0"/>
                  <w:lang w:val="en-GB"/>
                </w:rPr>
                <w:t>Building and assessing historical knowledge on three scales / Historical Association (history.org.uk)</w:t>
              </w:r>
            </w:hyperlink>
          </w:p>
          <w:p w:rsidRPr="0096374D" w:rsidR="007F45A4" w:rsidP="3ECADF08" w:rsidRDefault="007F45A4" w14:paraId="0F11C139" w14:textId="0CC4878C">
            <w:pPr>
              <w:pStyle w:val="xmsolistparagraph"/>
              <w:spacing w:before="0" w:beforeAutospacing="off" w:after="0" w:afterAutospacing="off"/>
              <w:rPr>
                <w:noProof w:val="0"/>
                <w:lang w:val="en-GB"/>
              </w:rPr>
            </w:pPr>
          </w:p>
          <w:p w:rsidRPr="0096374D" w:rsidR="007F45A4" w:rsidP="3ECADF08" w:rsidRDefault="007F45A4" w14:paraId="02295E43" w14:textId="45D68EBA">
            <w:pPr>
              <w:pStyle w:val="xmsolistparagraph"/>
              <w:spacing w:before="0" w:beforeAutospacing="off" w:after="0" w:afterAutospacing="off"/>
              <w:rPr>
                <w:noProof w:val="0"/>
                <w:lang w:val="en-GB"/>
              </w:rPr>
            </w:pPr>
          </w:p>
        </w:tc>
      </w:tr>
      <w:tr w:rsidRPr="00F07217" w:rsidR="00403E3F" w:rsidTr="3ECADF08"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3ECADF08"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63410812" w:rsidP="3ECADF08" w:rsidRDefault="63410812" w14:paraId="59272778" w14:textId="6BC8B528">
            <w:pPr>
              <w:pStyle w:val="paragraph"/>
              <w:numPr>
                <w:ilvl w:val="0"/>
                <w:numId w:val="12"/>
              </w:numPr>
              <w:spacing w:before="0" w:beforeAutospacing="off" w:after="0" w:afterAutospacing="off"/>
              <w:rPr>
                <w:rFonts w:ascii="Calibri" w:hAnsi="Calibri" w:eastAsia="游明朝" w:cs="Arial" w:asciiTheme="minorAscii" w:hAnsiTheme="minorAscii" w:eastAsiaTheme="minorEastAsia" w:cstheme="minorBidi"/>
                <w:b w:val="1"/>
                <w:bCs w:val="1"/>
                <w:color w:val="auto"/>
                <w:sz w:val="24"/>
                <w:szCs w:val="24"/>
              </w:rPr>
            </w:pPr>
            <w:r w:rsidRPr="3ECADF08" w:rsidR="63410812">
              <w:rPr>
                <w:rFonts w:ascii="Calibri" w:hAnsi="Calibri" w:eastAsia="游明朝" w:cs="Arial" w:asciiTheme="minorAscii" w:hAnsiTheme="minorAscii" w:eastAsiaTheme="minorEastAsia" w:cstheme="minorBidi"/>
                <w:b w:val="1"/>
                <w:bCs w:val="1"/>
                <w:color w:val="auto"/>
                <w:sz w:val="24"/>
                <w:szCs w:val="24"/>
              </w:rPr>
              <w:t xml:space="preserve">Effective assessment is critical to teaching because it provides teachers with information about pupils’ understanding and needs (assessment data to inform planning). </w:t>
            </w:r>
          </w:p>
          <w:p w:rsidR="3ECADF08" w:rsidP="3ECADF08" w:rsidRDefault="3ECADF08" w14:paraId="2E3D4253" w14:textId="7B03CA97">
            <w:pPr>
              <w:pStyle w:val="paragraph"/>
              <w:spacing w:before="0" w:beforeAutospacing="off" w:after="0" w:afterAutospacing="off"/>
              <w:ind w:left="0"/>
              <w:rPr>
                <w:rFonts w:ascii="Calibri" w:hAnsi="Calibri" w:eastAsia="游明朝" w:cs="Arial" w:asciiTheme="minorAscii" w:hAnsiTheme="minorAscii" w:eastAsiaTheme="minorEastAsia" w:cstheme="minorBidi"/>
                <w:b w:val="1"/>
                <w:bCs w:val="1"/>
                <w:color w:val="auto"/>
                <w:sz w:val="24"/>
                <w:szCs w:val="24"/>
              </w:rPr>
            </w:pPr>
          </w:p>
          <w:p w:rsidR="63410812" w:rsidP="3ECADF08" w:rsidRDefault="63410812" w14:paraId="65C02D6E" w14:textId="7C6D7CD6">
            <w:pPr>
              <w:pStyle w:val="ListParagraph"/>
              <w:numPr>
                <w:ilvl w:val="0"/>
                <w:numId w:val="12"/>
              </w:numPr>
              <w:rPr>
                <w:b w:val="1"/>
                <w:bCs w:val="1"/>
                <w:color w:val="000000" w:themeColor="text1" w:themeTint="FF" w:themeShade="FF"/>
                <w:sz w:val="24"/>
                <w:szCs w:val="24"/>
              </w:rPr>
            </w:pPr>
            <w:r w:rsidRPr="3ECADF08" w:rsidR="63410812">
              <w:rPr>
                <w:b w:val="1"/>
                <w:bCs w:val="1"/>
                <w:sz w:val="24"/>
                <w:szCs w:val="24"/>
              </w:rPr>
              <w:t>There are differences between Assessment of learning and Assessment For learning- including purpose and type. Black and William’s approach to ‘Inside the Black box’- raising classroom standards by assessment</w:t>
            </w:r>
            <w:r w:rsidRPr="3ECADF08" w:rsidR="63410812">
              <w:rPr>
                <w:b w:val="1"/>
                <w:bCs w:val="1"/>
                <w:sz w:val="24"/>
                <w:szCs w:val="24"/>
              </w:rPr>
              <w:t xml:space="preserve">.  </w:t>
            </w:r>
          </w:p>
          <w:p w:rsidR="63410812" w:rsidP="3ECADF08" w:rsidRDefault="63410812" w14:paraId="778385C4" w14:textId="72F7849E">
            <w:pPr>
              <w:pStyle w:val="Normal"/>
              <w:ind w:left="0"/>
              <w:rPr>
                <w:b w:val="1"/>
                <w:bCs w:val="1"/>
                <w:color w:val="000000" w:themeColor="text1" w:themeTint="FF" w:themeShade="FF"/>
                <w:sz w:val="24"/>
                <w:szCs w:val="24"/>
              </w:rPr>
            </w:pPr>
            <w:r w:rsidRPr="3ECADF08" w:rsidR="63410812">
              <w:rPr>
                <w:b w:val="1"/>
                <w:bCs w:val="1"/>
                <w:sz w:val="24"/>
                <w:szCs w:val="24"/>
              </w:rPr>
              <w:t xml:space="preserve"> </w:t>
            </w:r>
          </w:p>
          <w:p w:rsidR="63410812" w:rsidP="3ECADF08" w:rsidRDefault="63410812" w14:paraId="19D4C4FB" w14:textId="3815872D">
            <w:pPr>
              <w:pStyle w:val="ListParagraph"/>
              <w:numPr>
                <w:ilvl w:val="0"/>
                <w:numId w:val="12"/>
              </w:numPr>
              <w:rPr>
                <w:b w:val="1"/>
                <w:bCs w:val="1"/>
                <w:color w:val="000000" w:themeColor="text1" w:themeTint="FF" w:themeShade="FF"/>
                <w:sz w:val="24"/>
                <w:szCs w:val="24"/>
              </w:rPr>
            </w:pPr>
            <w:r w:rsidRPr="3ECADF08" w:rsidR="63410812">
              <w:rPr>
                <w:b w:val="1"/>
                <w:bCs w:val="1"/>
                <w:sz w:val="24"/>
                <w:szCs w:val="24"/>
              </w:rPr>
              <w:t>Historical enquiries across sequences shape assessment e.g. scales of knowledge and why some whole school assessment strategies are problematic.</w:t>
            </w:r>
          </w:p>
          <w:p w:rsidR="3ECADF08" w:rsidP="3ECADF08" w:rsidRDefault="3ECADF08" w14:paraId="4C9837FA" w14:textId="0CC1B33E">
            <w:pPr>
              <w:pStyle w:val="paragraph"/>
              <w:spacing w:before="0" w:beforeAutospacing="off" w:after="0" w:afterAutospacing="off"/>
              <w:ind w:left="0"/>
              <w:rPr>
                <w:rFonts w:ascii="Calibri" w:hAnsi="Calibri" w:eastAsia="游明朝" w:cs="Arial" w:asciiTheme="minorAscii" w:hAnsiTheme="minorAscii" w:eastAsiaTheme="minorEastAsia" w:cstheme="minorBidi"/>
                <w:b w:val="1"/>
                <w:bCs w:val="1"/>
                <w:color w:val="auto"/>
                <w:sz w:val="24"/>
                <w:szCs w:val="24"/>
              </w:rPr>
            </w:pPr>
          </w:p>
          <w:p w:rsidR="3FD00E91" w:rsidP="3FD00E91" w:rsidRDefault="3FD00E91" w14:paraId="64F899A6" w14:textId="44A69C70">
            <w:pPr>
              <w:pStyle w:val="paragraph"/>
              <w:spacing w:before="0" w:beforeAutospacing="0" w:after="0" w:afterAutospacing="0"/>
              <w:rPr>
                <w:b/>
                <w:bCs/>
              </w:rPr>
            </w:pPr>
          </w:p>
          <w:p w:rsidR="552A6478" w:rsidP="552A6478" w:rsidRDefault="552A6478" w14:paraId="139A6247" w14:textId="3C07A509">
            <w:pPr>
              <w:rPr>
                <w:rFonts w:ascii="Cambria" w:hAnsi="Cambria"/>
                <w:b/>
                <w:bCs/>
                <w:sz w:val="20"/>
                <w:szCs w:val="20"/>
              </w:rPr>
            </w:pP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3ECADF08"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3ECADF08"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2B02B945" w:rsidP="3ECADF08" w:rsidRDefault="2B02B945" w14:paraId="4A1B45E7" w14:textId="4BA79E15">
            <w:pPr>
              <w:pStyle w:val="ListParagraph"/>
              <w:numPr>
                <w:ilvl w:val="0"/>
                <w:numId w:val="3"/>
              </w:numPr>
              <w:rPr>
                <w:b w:val="1"/>
                <w:bCs w:val="1"/>
                <w:color w:val="000000" w:themeColor="text1" w:themeTint="FF" w:themeShade="FF"/>
                <w:sz w:val="24"/>
                <w:szCs w:val="24"/>
              </w:rPr>
            </w:pPr>
            <w:r w:rsidRPr="3ECADF08" w:rsidR="2B02B945">
              <w:rPr>
                <w:b w:val="1"/>
                <w:bCs w:val="1"/>
                <w:color w:val="000000" w:themeColor="text1" w:themeTint="FF" w:themeShade="FF"/>
                <w:sz w:val="24"/>
                <w:szCs w:val="24"/>
              </w:rPr>
              <w:t xml:space="preserve">Exemplify spaced repetition, through planning retrieval practice and structured tasks to </w:t>
            </w:r>
            <w:r w:rsidRPr="3ECADF08" w:rsidR="2B02B945">
              <w:rPr>
                <w:b w:val="1"/>
                <w:bCs w:val="1"/>
                <w:color w:val="000000" w:themeColor="text1" w:themeTint="FF" w:themeShade="FF"/>
                <w:sz w:val="24"/>
                <w:szCs w:val="24"/>
              </w:rPr>
              <w:t>demonstrate</w:t>
            </w:r>
            <w:r w:rsidRPr="3ECADF08" w:rsidR="2B02B945">
              <w:rPr>
                <w:b w:val="1"/>
                <w:bCs w:val="1"/>
                <w:color w:val="000000" w:themeColor="text1" w:themeTint="FF" w:themeShade="FF"/>
                <w:sz w:val="24"/>
                <w:szCs w:val="24"/>
              </w:rPr>
              <w:t xml:space="preserve"> assessment of prior knowledge, knowledge gaps and misconceptions </w:t>
            </w:r>
          </w:p>
          <w:p w:rsidR="3ECADF08" w:rsidP="3ECADF08" w:rsidRDefault="3ECADF08" w14:paraId="2BD2B6D5" w14:textId="7F31B62C">
            <w:pPr>
              <w:pStyle w:val="Normal"/>
              <w:ind w:left="0"/>
              <w:rPr>
                <w:b w:val="1"/>
                <w:bCs w:val="1"/>
                <w:color w:val="000000" w:themeColor="text1" w:themeTint="FF" w:themeShade="FF"/>
                <w:sz w:val="24"/>
                <w:szCs w:val="24"/>
              </w:rPr>
            </w:pPr>
          </w:p>
          <w:p w:rsidR="2B02B945" w:rsidP="3ECADF08" w:rsidRDefault="2B02B945" w14:paraId="315D2D48" w14:textId="64A7ECFA">
            <w:pPr>
              <w:pStyle w:val="ListParagraph"/>
              <w:numPr>
                <w:ilvl w:val="0"/>
                <w:numId w:val="3"/>
              </w:numPr>
              <w:rPr>
                <w:b w:val="1"/>
                <w:bCs w:val="1"/>
                <w:color w:val="000000" w:themeColor="text1" w:themeTint="FF" w:themeShade="FF"/>
                <w:sz w:val="24"/>
                <w:szCs w:val="24"/>
              </w:rPr>
            </w:pPr>
            <w:r w:rsidRPr="3ECADF08" w:rsidR="2B02B945">
              <w:rPr>
                <w:b w:val="1"/>
                <w:bCs w:val="1"/>
                <w:sz w:val="24"/>
                <w:szCs w:val="24"/>
              </w:rPr>
              <w:t xml:space="preserve">Evaluate history specific progression models e.g. Hammond’s Layers of Knowledge, Ford’s historical knowledge model, </w:t>
            </w:r>
            <w:r w:rsidRPr="3ECADF08" w:rsidR="2B02B945">
              <w:rPr>
                <w:b w:val="1"/>
                <w:bCs w:val="1"/>
                <w:sz w:val="24"/>
                <w:szCs w:val="24"/>
              </w:rPr>
              <w:t>Seixas</w:t>
            </w:r>
            <w:r w:rsidRPr="3ECADF08" w:rsidR="2B02B945">
              <w:rPr>
                <w:b w:val="1"/>
                <w:bCs w:val="1"/>
                <w:sz w:val="24"/>
                <w:szCs w:val="24"/>
              </w:rPr>
              <w:t xml:space="preserve"> and Morton’s ‘Big Six’ model to assess pupils both </w:t>
            </w:r>
            <w:r w:rsidRPr="3ECADF08" w:rsidR="2B02B945">
              <w:rPr>
                <w:b w:val="1"/>
                <w:bCs w:val="1"/>
                <w:sz w:val="24"/>
                <w:szCs w:val="24"/>
              </w:rPr>
              <w:t>summatively</w:t>
            </w:r>
            <w:r w:rsidRPr="3ECADF08" w:rsidR="2B02B945">
              <w:rPr>
                <w:b w:val="1"/>
                <w:bCs w:val="1"/>
                <w:sz w:val="24"/>
                <w:szCs w:val="24"/>
              </w:rPr>
              <w:t xml:space="preserve"> and formatively.</w:t>
            </w:r>
          </w:p>
          <w:p w:rsidR="3ECADF08" w:rsidP="3ECADF08" w:rsidRDefault="3ECADF08" w14:paraId="3F53891D" w14:textId="36790FBE">
            <w:pPr>
              <w:pStyle w:val="Normal"/>
              <w:ind w:left="0"/>
              <w:rPr>
                <w:b w:val="1"/>
                <w:bCs w:val="1"/>
                <w:color w:val="000000" w:themeColor="text1" w:themeTint="FF" w:themeShade="FF"/>
                <w:sz w:val="24"/>
                <w:szCs w:val="24"/>
              </w:rPr>
            </w:pPr>
          </w:p>
          <w:p w:rsidR="29DEEEAF" w:rsidP="29DEEEAF" w:rsidRDefault="29DEEEAF" w14:paraId="43BA59DA" w14:textId="3935068D">
            <w:pPr>
              <w:rPr>
                <w:b/>
                <w:bCs/>
                <w:color w:val="000000" w:themeColor="text1"/>
                <w:sz w:val="24"/>
                <w:szCs w:val="24"/>
              </w:rPr>
            </w:pPr>
          </w:p>
          <w:p w:rsidR="3FD00E91" w:rsidP="3FD00E91" w:rsidRDefault="3FD00E91" w14:paraId="3E3FEF22" w14:textId="077D2F89">
            <w:pPr>
              <w:rPr>
                <w:b/>
                <w:bCs/>
                <w:color w:val="000000" w:themeColor="text1"/>
                <w:sz w:val="24"/>
                <w:szCs w:val="24"/>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3ECADF08"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36C781C9" w:rsidP="3ECADF08" w:rsidRDefault="36C781C9" w14:paraId="00B3F065" w14:textId="796F947A">
            <w:pPr>
              <w:pStyle w:val="ListParagraph"/>
              <w:numPr>
                <w:ilvl w:val="0"/>
                <w:numId w:val="2"/>
              </w:numPr>
              <w:rPr>
                <w:b w:val="1"/>
                <w:bCs w:val="1"/>
                <w:color w:val="000000" w:themeColor="text1" w:themeTint="FF" w:themeShade="FF"/>
                <w:sz w:val="24"/>
                <w:szCs w:val="24"/>
                <w:highlight w:val="yellow"/>
              </w:rPr>
            </w:pPr>
            <w:r w:rsidRPr="3ECADF08" w:rsidR="36C781C9">
              <w:rPr>
                <w:b w:val="1"/>
                <w:bCs w:val="1"/>
                <w:color w:val="000000" w:themeColor="text1" w:themeTint="FF" w:themeShade="FF"/>
                <w:sz w:val="24"/>
                <w:szCs w:val="24"/>
                <w:highlight w:val="yellow"/>
              </w:rPr>
              <w:t xml:space="preserve">How have you planned and implemented formative assessment tasks in your lessons, and how have you used the results to adjust your teaching and support your students' learning? </w:t>
            </w:r>
          </w:p>
          <w:p w:rsidR="3ECADF08" w:rsidP="3ECADF08" w:rsidRDefault="3ECADF08" w14:paraId="2FDDDF60" w14:textId="087C0F39">
            <w:pPr>
              <w:pStyle w:val="Normal"/>
              <w:ind w:left="0"/>
              <w:rPr>
                <w:b w:val="1"/>
                <w:bCs w:val="1"/>
                <w:color w:val="000000" w:themeColor="text1" w:themeTint="FF" w:themeShade="FF"/>
                <w:sz w:val="24"/>
                <w:szCs w:val="24"/>
                <w:highlight w:val="yellow"/>
              </w:rPr>
            </w:pPr>
          </w:p>
          <w:p w:rsidR="36C781C9" w:rsidP="3ECADF08" w:rsidRDefault="36C781C9" w14:paraId="78A82FD0" w14:textId="1911F9A1">
            <w:pPr>
              <w:pStyle w:val="ListParagraph"/>
              <w:numPr>
                <w:ilvl w:val="0"/>
                <w:numId w:val="2"/>
              </w:numPr>
              <w:rPr>
                <w:b w:val="1"/>
                <w:bCs w:val="1"/>
                <w:color w:val="000000" w:themeColor="text1" w:themeTint="FF" w:themeShade="FF"/>
                <w:sz w:val="24"/>
                <w:szCs w:val="24"/>
                <w:highlight w:val="yellow"/>
              </w:rPr>
            </w:pPr>
            <w:r w:rsidRPr="3ECADF08" w:rsidR="36C781C9">
              <w:rPr>
                <w:b w:val="1"/>
                <w:bCs w:val="1"/>
                <w:sz w:val="24"/>
                <w:szCs w:val="24"/>
                <w:highlight w:val="yellow"/>
              </w:rPr>
              <w:t>2.Describe a progression model in history and how you have used this.</w:t>
            </w:r>
          </w:p>
          <w:p w:rsidR="3ECADF08" w:rsidP="3ECADF08" w:rsidRDefault="3ECADF08" w14:paraId="03E0EC47" w14:textId="4C83919F">
            <w:pPr>
              <w:pStyle w:val="Normal"/>
              <w:ind w:left="0"/>
              <w:rPr>
                <w:b w:val="1"/>
                <w:bCs w:val="1"/>
                <w:color w:val="000000" w:themeColor="text1" w:themeTint="FF" w:themeShade="FF"/>
                <w:sz w:val="24"/>
                <w:szCs w:val="24"/>
                <w:highlight w:val="yellow"/>
              </w:rPr>
            </w:pPr>
          </w:p>
          <w:p w:rsidR="6868C5A8" w:rsidP="6868C5A8" w:rsidRDefault="6868C5A8" w14:paraId="77438F06" w14:textId="3EA6AF0E">
            <w:pPr>
              <w:rPr>
                <w:rFonts w:ascii="Cambria" w:hAnsi="Cambria" w:eastAsia="Cambria" w:cs="Cambria"/>
                <w:b/>
                <w:bCs/>
                <w:color w:val="000000" w:themeColor="text1"/>
                <w:sz w:val="24"/>
                <w:szCs w:val="24"/>
              </w:rPr>
            </w:pPr>
          </w:p>
          <w:p w:rsidR="3FD00E91" w:rsidP="3FD00E91" w:rsidRDefault="3FD00E91" w14:paraId="0161BF5A" w14:textId="72A82B5C">
            <w:pPr>
              <w:rPr>
                <w:b/>
                <w:bCs/>
                <w:color w:val="000000" w:themeColor="text1"/>
                <w:sz w:val="24"/>
                <w:szCs w:val="24"/>
              </w:rPr>
            </w:pPr>
          </w:p>
          <w:p w:rsidR="552A6478" w:rsidP="552A6478" w:rsidRDefault="552A6478" w14:paraId="3CA57A5C" w14:textId="79598246">
            <w:pPr>
              <w:pBdr>
                <w:top w:val="nil"/>
                <w:left w:val="nil"/>
                <w:bottom w:val="nil"/>
                <w:right w:val="nil"/>
                <w:between w:val="nil"/>
              </w:pBdr>
              <w:jc w:val="both"/>
              <w:rPr>
                <w:rFonts w:ascii="Cambria" w:hAnsi="Cambria" w:eastAsia="Cambria" w:cs="Cambria"/>
                <w:b/>
                <w:bCs/>
                <w:sz w:val="20"/>
                <w:szCs w:val="20"/>
              </w:rPr>
            </w:pPr>
          </w:p>
          <w:p w:rsidRPr="00523D39" w:rsidR="008B1D2B" w:rsidP="005F4A4E" w:rsidRDefault="008B1D2B" w14:paraId="11852BB5" w14:textId="27192A8F">
            <w:pPr>
              <w:pBdr>
                <w:top w:val="nil"/>
                <w:left w:val="nil"/>
                <w:bottom w:val="nil"/>
                <w:right w:val="nil"/>
                <w:between w:val="nil"/>
              </w:pBdr>
              <w:jc w:val="both"/>
              <w:rPr>
                <w:rFonts w:ascii="Cambria" w:hAnsi="Cambria"/>
                <w:sz w:val="20"/>
                <w:szCs w:val="20"/>
              </w:rPr>
            </w:pPr>
          </w:p>
        </w:tc>
      </w:tr>
      <w:tr w:rsidRPr="00F07217" w:rsidR="00B5000E" w:rsidTr="3ECADF08"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3ECADF08"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3ECADF08"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3ECADF08"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3ECADF08"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3ECADF08"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3ECADF08"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3ECADF08"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3ECADF08"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3ECADF08"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E58D9B"/>
    <w:rsid w:val="02498DF2"/>
    <w:rsid w:val="027E7B40"/>
    <w:rsid w:val="05592BA6"/>
    <w:rsid w:val="067536BF"/>
    <w:rsid w:val="06B72B9C"/>
    <w:rsid w:val="07363FCA"/>
    <w:rsid w:val="08A6A640"/>
    <w:rsid w:val="08FEF37E"/>
    <w:rsid w:val="0935BEA5"/>
    <w:rsid w:val="09D1A08E"/>
    <w:rsid w:val="0B3EB9E1"/>
    <w:rsid w:val="0BDE4702"/>
    <w:rsid w:val="0BFAD37E"/>
    <w:rsid w:val="0D7A1763"/>
    <w:rsid w:val="0DC4A605"/>
    <w:rsid w:val="0E7396BC"/>
    <w:rsid w:val="0F15E7C4"/>
    <w:rsid w:val="10B1B825"/>
    <w:rsid w:val="1292F5D9"/>
    <w:rsid w:val="1296A844"/>
    <w:rsid w:val="12981728"/>
    <w:rsid w:val="13D06A63"/>
    <w:rsid w:val="17601E8A"/>
    <w:rsid w:val="1771B7C3"/>
    <w:rsid w:val="1872E06F"/>
    <w:rsid w:val="187DC252"/>
    <w:rsid w:val="194BC190"/>
    <w:rsid w:val="1A8891CC"/>
    <w:rsid w:val="1B4859F2"/>
    <w:rsid w:val="1C24622D"/>
    <w:rsid w:val="1D7AEBB6"/>
    <w:rsid w:val="1EDE98A9"/>
    <w:rsid w:val="1FC31179"/>
    <w:rsid w:val="205134C6"/>
    <w:rsid w:val="2064C9F7"/>
    <w:rsid w:val="207A690A"/>
    <w:rsid w:val="2096CDB8"/>
    <w:rsid w:val="20ED0A5F"/>
    <w:rsid w:val="2216396B"/>
    <w:rsid w:val="240A65EC"/>
    <w:rsid w:val="2524A5E9"/>
    <w:rsid w:val="254DDA2D"/>
    <w:rsid w:val="260338F2"/>
    <w:rsid w:val="267931FA"/>
    <w:rsid w:val="26D40B7B"/>
    <w:rsid w:val="28D2BDF6"/>
    <w:rsid w:val="29DEEEAF"/>
    <w:rsid w:val="2B02B945"/>
    <w:rsid w:val="2F0B69D1"/>
    <w:rsid w:val="31E891B0"/>
    <w:rsid w:val="326C44A4"/>
    <w:rsid w:val="3434A3A4"/>
    <w:rsid w:val="34980AFC"/>
    <w:rsid w:val="34B3BD21"/>
    <w:rsid w:val="34E4DD6B"/>
    <w:rsid w:val="3657C0EA"/>
    <w:rsid w:val="36C781C9"/>
    <w:rsid w:val="377FBC2E"/>
    <w:rsid w:val="37CFABBE"/>
    <w:rsid w:val="38272833"/>
    <w:rsid w:val="385DB780"/>
    <w:rsid w:val="396B7C1F"/>
    <w:rsid w:val="3AC9B0B5"/>
    <w:rsid w:val="3B550861"/>
    <w:rsid w:val="3CA67D74"/>
    <w:rsid w:val="3CA87BD8"/>
    <w:rsid w:val="3CF33A1C"/>
    <w:rsid w:val="3D4E463A"/>
    <w:rsid w:val="3ECADF08"/>
    <w:rsid w:val="3FD00E91"/>
    <w:rsid w:val="3FE57AD3"/>
    <w:rsid w:val="40CA41DC"/>
    <w:rsid w:val="41BAFADB"/>
    <w:rsid w:val="41E40230"/>
    <w:rsid w:val="41EB7169"/>
    <w:rsid w:val="44452910"/>
    <w:rsid w:val="44C6C66B"/>
    <w:rsid w:val="45506867"/>
    <w:rsid w:val="45C547D9"/>
    <w:rsid w:val="46B79B5D"/>
    <w:rsid w:val="47B2CCA3"/>
    <w:rsid w:val="487B7D76"/>
    <w:rsid w:val="4A1323C9"/>
    <w:rsid w:val="4CB64C4E"/>
    <w:rsid w:val="4D4AC48B"/>
    <w:rsid w:val="4E4CC4F0"/>
    <w:rsid w:val="4F699094"/>
    <w:rsid w:val="4FDF6A4C"/>
    <w:rsid w:val="50F92EB5"/>
    <w:rsid w:val="552A6478"/>
    <w:rsid w:val="555831DC"/>
    <w:rsid w:val="565D2E94"/>
    <w:rsid w:val="568CEC13"/>
    <w:rsid w:val="57F8FEF5"/>
    <w:rsid w:val="588FD29E"/>
    <w:rsid w:val="5994CF56"/>
    <w:rsid w:val="59B9767D"/>
    <w:rsid w:val="5C1FD0E7"/>
    <w:rsid w:val="5D56093F"/>
    <w:rsid w:val="60C519E5"/>
    <w:rsid w:val="617323AD"/>
    <w:rsid w:val="6239EC13"/>
    <w:rsid w:val="6260EA46"/>
    <w:rsid w:val="63410812"/>
    <w:rsid w:val="63BEEF02"/>
    <w:rsid w:val="644EE0C7"/>
    <w:rsid w:val="64A81E23"/>
    <w:rsid w:val="6515CD37"/>
    <w:rsid w:val="65AA246D"/>
    <w:rsid w:val="67D6FB70"/>
    <w:rsid w:val="6868C5A8"/>
    <w:rsid w:val="68F49F38"/>
    <w:rsid w:val="6A236677"/>
    <w:rsid w:val="6A52D3CE"/>
    <w:rsid w:val="6C215E17"/>
    <w:rsid w:val="6C5C69E0"/>
    <w:rsid w:val="6CA1235F"/>
    <w:rsid w:val="6CB53EDC"/>
    <w:rsid w:val="6E30F3B7"/>
    <w:rsid w:val="6EDA8A3D"/>
    <w:rsid w:val="6FEFD282"/>
    <w:rsid w:val="6FEFE4E3"/>
    <w:rsid w:val="6FF9FDC2"/>
    <w:rsid w:val="7185978E"/>
    <w:rsid w:val="7219536B"/>
    <w:rsid w:val="7271A0A9"/>
    <w:rsid w:val="72A540F3"/>
    <w:rsid w:val="739FDEBF"/>
    <w:rsid w:val="749AD399"/>
    <w:rsid w:val="74A954B0"/>
    <w:rsid w:val="7550F42D"/>
    <w:rsid w:val="75C4B713"/>
    <w:rsid w:val="79667E0A"/>
    <w:rsid w:val="797409E7"/>
    <w:rsid w:val="79917CD3"/>
    <w:rsid w:val="79FE85F5"/>
    <w:rsid w:val="7BAEE0AB"/>
    <w:rsid w:val="7C562421"/>
    <w:rsid w:val="7D1CFE5A"/>
    <w:rsid w:val="7E0396A6"/>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hyperlink" Target="https://dera.ioe.ac.uk/id/eprint/32012/1/EFA_evaluation_report.pdf" TargetMode="External" Id="R5b70e4f9883c44a4" /><Relationship Type="http://schemas.openxmlformats.org/officeDocument/2006/relationships/hyperlink" Target="https://www.history.org.uk/publications/resource/8133/building-and-assessing-historical-knowledge-on-thr" TargetMode="External" Id="R3f3d01c4cf094820" /><Relationship Type="http://schemas.openxmlformats.org/officeDocument/2006/relationships/glossaryDocument" Target="glossary/document.xml" Id="R8ddfda1cf2a3454f"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w14:paraId="3B5308A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11</revision>
  <lastPrinted>2023-05-18T14:08:00.0000000Z</lastPrinted>
  <dcterms:created xsi:type="dcterms:W3CDTF">2023-11-23T09:09:00.0000000Z</dcterms:created>
  <dcterms:modified xsi:type="dcterms:W3CDTF">2023-11-23T12:40:58.4921300Z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