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5"/>
        <w:gridCol w:w="1685"/>
        <w:gridCol w:w="1126"/>
        <w:gridCol w:w="557"/>
        <w:gridCol w:w="516"/>
        <w:gridCol w:w="1199"/>
        <w:gridCol w:w="574"/>
        <w:gridCol w:w="1119"/>
        <w:gridCol w:w="1227"/>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11B459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9E4101">
              <w:rPr>
                <w:rFonts w:ascii="Cambria" w:eastAsia="Georgia" w:hAnsi="Cambria" w:cs="Georgia"/>
                <w:b/>
                <w:color w:val="FFFFFF" w:themeColor="background1"/>
                <w:sz w:val="20"/>
                <w:szCs w:val="20"/>
              </w:rPr>
              <w:t>1</w:t>
            </w:r>
            <w:r w:rsidR="00021303">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9A813CC" w:rsidR="004009A7" w:rsidRPr="00523D39" w:rsidRDefault="00D2150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E630D3F" w:rsidR="004009A7" w:rsidRPr="00523D39" w:rsidRDefault="003A17F2">
            <w:pPr>
              <w:jc w:val="both"/>
              <w:rPr>
                <w:rFonts w:ascii="Cambria" w:hAnsi="Cambria"/>
                <w:b/>
                <w:bCs/>
                <w:sz w:val="20"/>
                <w:szCs w:val="20"/>
              </w:rPr>
            </w:pPr>
            <w:r>
              <w:rPr>
                <w:rFonts w:ascii="Cambria" w:hAnsi="Cambria"/>
                <w:b/>
                <w:bCs/>
                <w:sz w:val="20"/>
                <w:szCs w:val="20"/>
              </w:rPr>
              <w:t>27</w:t>
            </w:r>
            <w:r w:rsidRPr="003A17F2">
              <w:rPr>
                <w:rFonts w:ascii="Cambria" w:hAnsi="Cambria"/>
                <w:b/>
                <w:bCs/>
                <w:sz w:val="20"/>
                <w:szCs w:val="20"/>
                <w:vertAlign w:val="superscript"/>
              </w:rPr>
              <w:t>th</w:t>
            </w:r>
            <w:r>
              <w:rPr>
                <w:rFonts w:ascii="Cambria" w:hAnsi="Cambria"/>
                <w:b/>
                <w:bCs/>
                <w:sz w:val="20"/>
                <w:szCs w:val="20"/>
              </w:rPr>
              <w:t xml:space="preserve"> November</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702B9D" w:rsidRDefault="00F45E23" w:rsidP="00BE47F7">
            <w:pPr>
              <w:pStyle w:val="paragraph"/>
              <w:spacing w:before="0" w:beforeAutospacing="0" w:after="0" w:afterAutospacing="0"/>
              <w:textAlignment w:val="baseline"/>
              <w:rPr>
                <w:rStyle w:val="eop"/>
                <w:rFonts w:ascii="Cambria" w:hAnsi="Cambria" w:cs="Calibri"/>
                <w:color w:val="000000" w:themeColor="text1"/>
                <w:sz w:val="22"/>
                <w:szCs w:val="22"/>
              </w:rPr>
            </w:pPr>
            <w:r w:rsidRPr="00702B9D">
              <w:rPr>
                <w:rFonts w:ascii="Cambria" w:hAnsi="Cambria" w:cstheme="minorHAnsi"/>
                <w:b/>
                <w:bCs/>
                <w:color w:val="000000" w:themeColor="text1"/>
                <w:sz w:val="22"/>
                <w:szCs w:val="22"/>
              </w:rPr>
              <w:t>Summary</w:t>
            </w:r>
            <w:r w:rsidR="00BE47F7" w:rsidRPr="00702B9D">
              <w:rPr>
                <w:rStyle w:val="normaltextrun"/>
                <w:rFonts w:ascii="Cambria" w:eastAsia="Calibri" w:hAnsi="Cambria"/>
                <w:color w:val="000000" w:themeColor="text1"/>
                <w:sz w:val="22"/>
                <w:szCs w:val="22"/>
                <w:shd w:val="clear" w:color="auto" w:fill="FFFFFF"/>
                <w:lang w:val="en-US"/>
              </w:rPr>
              <w:t xml:space="preserve"> </w:t>
            </w:r>
          </w:p>
          <w:p w14:paraId="60E90C27" w14:textId="77777777" w:rsidR="00BE47F7" w:rsidRPr="00C26EC1" w:rsidRDefault="00BE47F7" w:rsidP="00BE47F7">
            <w:pPr>
              <w:pStyle w:val="paragraph"/>
              <w:spacing w:before="0" w:beforeAutospacing="0" w:after="0" w:afterAutospacing="0"/>
              <w:textAlignment w:val="baseline"/>
              <w:rPr>
                <w:rStyle w:val="normaltextrun"/>
                <w:rFonts w:ascii="Cambria" w:eastAsia="Calibri" w:hAnsi="Cambria" w:cs="Arial"/>
                <w:color w:val="000000" w:themeColor="text1"/>
                <w:sz w:val="22"/>
                <w:szCs w:val="22"/>
                <w:highlight w:val="yellow"/>
              </w:rPr>
            </w:pPr>
          </w:p>
          <w:p w14:paraId="23999081" w14:textId="1EB96CDA" w:rsidR="00702B9D" w:rsidRPr="00021303" w:rsidRDefault="00021303" w:rsidP="00D21504">
            <w:pPr>
              <w:jc w:val="both"/>
              <w:rPr>
                <w:rFonts w:ascii="Cambria" w:hAnsi="Cambria"/>
                <w:color w:val="000000" w:themeColor="text1"/>
                <w:highlight w:val="yellow"/>
                <w:shd w:val="clear" w:color="auto" w:fill="FFFFFF"/>
              </w:rPr>
            </w:pPr>
            <w:r w:rsidRPr="00021303">
              <w:rPr>
                <w:rFonts w:ascii="Cambria" w:hAnsi="Cambria" w:cs="Segoe UI"/>
                <w:color w:val="0F0F0F"/>
                <w:shd w:val="clear" w:color="auto" w:fill="FFFFFF"/>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p>
          <w:p w14:paraId="534B08F6" w14:textId="77777777" w:rsidR="009E4101" w:rsidRDefault="009E4101" w:rsidP="00D21504">
            <w:pPr>
              <w:jc w:val="both"/>
              <w:rPr>
                <w:rFonts w:ascii="Cambria" w:hAnsi="Cambria"/>
                <w:b/>
                <w:bCs/>
                <w:color w:val="000000" w:themeColor="text1"/>
                <w:bdr w:val="none" w:sz="0" w:space="0" w:color="auto" w:frame="1"/>
                <w:shd w:val="clear" w:color="auto" w:fill="FFFFFF"/>
              </w:rPr>
            </w:pPr>
          </w:p>
          <w:p w14:paraId="467244C9" w14:textId="6E5683F8" w:rsidR="00021303" w:rsidRDefault="00021303" w:rsidP="00021303">
            <w:pPr>
              <w:pStyle w:val="paragraph"/>
              <w:spacing w:before="0" w:beforeAutospacing="0" w:after="0" w:afterAutospacing="0"/>
              <w:textAlignment w:val="baseline"/>
              <w:rPr>
                <w:rFonts w:ascii="Cambria" w:hAnsi="Cambria" w:cstheme="minorHAnsi"/>
                <w:b/>
                <w:bCs/>
                <w:sz w:val="22"/>
                <w:szCs w:val="22"/>
              </w:rPr>
            </w:pPr>
            <w:r w:rsidRPr="00021303">
              <w:rPr>
                <w:rFonts w:ascii="Cambria" w:hAnsi="Cambria" w:cstheme="minorHAnsi"/>
                <w:b/>
                <w:bCs/>
                <w:sz w:val="22"/>
                <w:szCs w:val="22"/>
              </w:rPr>
              <w:t>Limitations</w:t>
            </w:r>
          </w:p>
          <w:p w14:paraId="7861040A" w14:textId="77777777" w:rsidR="00021303" w:rsidRPr="00021303" w:rsidRDefault="00021303" w:rsidP="00021303">
            <w:pPr>
              <w:pStyle w:val="paragraph"/>
              <w:spacing w:before="0" w:beforeAutospacing="0" w:after="0" w:afterAutospacing="0"/>
              <w:textAlignment w:val="baseline"/>
              <w:rPr>
                <w:rStyle w:val="eop"/>
                <w:rFonts w:ascii="Cambria" w:hAnsi="Cambria" w:cs="Calibri"/>
                <w:color w:val="000000" w:themeColor="text1"/>
                <w:sz w:val="22"/>
                <w:szCs w:val="22"/>
              </w:rPr>
            </w:pPr>
          </w:p>
          <w:p w14:paraId="04FEC55F" w14:textId="31EC7D81" w:rsidR="00021303" w:rsidRPr="00021303" w:rsidRDefault="00021303" w:rsidP="00D21504">
            <w:pPr>
              <w:jc w:val="both"/>
              <w:rPr>
                <w:rFonts w:ascii="Cambria" w:hAnsi="Cambria"/>
                <w:color w:val="000000" w:themeColor="text1"/>
                <w:highlight w:val="yellow"/>
                <w:bdr w:val="none" w:sz="0" w:space="0" w:color="auto" w:frame="1"/>
                <w:shd w:val="clear" w:color="auto" w:fill="FFFFFF"/>
              </w:rPr>
            </w:pPr>
            <w:r w:rsidRPr="00021303">
              <w:rPr>
                <w:rFonts w:ascii="Cambria" w:hAnsi="Cambria" w:cs="Segoe UI"/>
                <w:color w:val="0F0F0F"/>
                <w:shd w:val="clear" w:color="auto" w:fill="FFFFFF"/>
              </w:rPr>
              <w:t>12 schools dropped out, no improved attainment in Maths and English, only year 10 involved and teachers felt EFA lacked practical guidance for implementation.</w:t>
            </w:r>
          </w:p>
          <w:p w14:paraId="572A8D7E" w14:textId="77777777" w:rsidR="0066365A" w:rsidRPr="00C26EC1" w:rsidRDefault="0066365A"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Pr="00C26EC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3DD47BE4" w14:textId="6625B1EE" w:rsidR="0066365A" w:rsidRPr="00021303" w:rsidRDefault="004A4A0C" w:rsidP="00021303">
            <w:pPr>
              <w:pStyle w:val="paragraph"/>
              <w:spacing w:before="0" w:beforeAutospacing="0" w:after="0" w:afterAutospacing="0"/>
              <w:textAlignment w:val="baseline"/>
              <w:rPr>
                <w:rFonts w:ascii="Cambria" w:hAnsi="Cambria" w:cstheme="minorHAnsi"/>
                <w:sz w:val="22"/>
                <w:szCs w:val="22"/>
              </w:rPr>
            </w:pPr>
            <w:hyperlink r:id="rId11" w:history="1">
              <w:r w:rsidR="00021303" w:rsidRPr="00021303">
                <w:rPr>
                  <w:rStyle w:val="Hyperlink"/>
                  <w:rFonts w:ascii="Cambria" w:hAnsi="Cambria" w:cstheme="minorHAnsi"/>
                  <w:sz w:val="22"/>
                  <w:szCs w:val="22"/>
                </w:rPr>
                <w:t>https://dera.ioe.ac.uk/id/eprint/32012/1/EFA_evaluation_report.pdf</w:t>
              </w:r>
            </w:hyperlink>
          </w:p>
          <w:p w14:paraId="6071F449" w14:textId="6F717552" w:rsidR="00021303" w:rsidRPr="00D21504" w:rsidRDefault="00021303" w:rsidP="00021303">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6232362" w14:textId="77777777" w:rsidR="004A4A0C" w:rsidRDefault="00DD0D06" w:rsidP="004A4A0C">
            <w:pPr>
              <w:pStyle w:val="paragraph"/>
              <w:shd w:val="clear" w:color="auto" w:fill="FFFFFF"/>
              <w:spacing w:before="0" w:beforeAutospacing="0" w:after="0" w:afterAutospacing="0"/>
              <w:textAlignment w:val="baseline"/>
              <w:rPr>
                <w:rFonts w:ascii="Open Sans" w:hAnsi="Open Sans" w:cs="Open Sans"/>
                <w:color w:val="201F1E"/>
                <w:sz w:val="21"/>
                <w:szCs w:val="21"/>
                <w:shd w:val="clear" w:color="auto" w:fill="FFFFFF"/>
              </w:rPr>
            </w:pPr>
            <w:r w:rsidRPr="00DD0D06">
              <w:rPr>
                <w:rStyle w:val="eop"/>
                <w:rFonts w:ascii="Cambria" w:hAnsi="Cambria" w:cs="Segoe UI"/>
                <w:sz w:val="22"/>
                <w:szCs w:val="22"/>
              </w:rPr>
              <w:t> </w:t>
            </w:r>
            <w:hyperlink r:id="rId13" w:tgtFrame="_blank" w:history="1">
              <w:r w:rsidR="004A4A0C">
                <w:rPr>
                  <w:rStyle w:val="Hyperlink"/>
                  <w:rFonts w:ascii="Open Sans" w:hAnsi="Open Sans" w:cs="Open Sans"/>
                  <w:color w:val="000000"/>
                  <w:sz w:val="21"/>
                  <w:szCs w:val="21"/>
                  <w:shd w:val="clear" w:color="auto" w:fill="FFFFFF"/>
                </w:rPr>
                <w:t>Hinge Questions in Mathematics</w:t>
              </w:r>
            </w:hyperlink>
            <w:r w:rsidR="004A4A0C">
              <w:rPr>
                <w:rFonts w:ascii="Open Sans" w:hAnsi="Open Sans" w:cs="Open Sans"/>
                <w:color w:val="201F1E"/>
                <w:sz w:val="21"/>
                <w:szCs w:val="21"/>
                <w:shd w:val="clear" w:color="auto" w:fill="FFFFFF"/>
              </w:rPr>
              <w:t> (Research blog)</w:t>
            </w:r>
          </w:p>
          <w:p w14:paraId="5D113533" w14:textId="77777777" w:rsidR="004A4A0C" w:rsidRDefault="004A4A0C" w:rsidP="004A4A0C">
            <w:pPr>
              <w:pStyle w:val="paragraph"/>
              <w:shd w:val="clear" w:color="auto" w:fill="FFFFFF"/>
              <w:spacing w:before="0" w:beforeAutospacing="0" w:after="0" w:afterAutospacing="0"/>
              <w:textAlignment w:val="baseline"/>
              <w:rPr>
                <w:rFonts w:ascii="Open Sans" w:hAnsi="Open Sans" w:cs="Open Sans"/>
                <w:color w:val="201F1E"/>
                <w:sz w:val="21"/>
                <w:szCs w:val="21"/>
                <w:shd w:val="clear" w:color="auto" w:fill="FFFFFF"/>
              </w:rPr>
            </w:pPr>
          </w:p>
          <w:p w14:paraId="7832D41E" w14:textId="77777777" w:rsidR="004A4A0C" w:rsidRDefault="004A4A0C" w:rsidP="004A4A0C">
            <w:pPr>
              <w:pStyle w:val="paragraph"/>
              <w:shd w:val="clear" w:color="auto" w:fill="FFFFFF"/>
              <w:spacing w:before="0" w:beforeAutospacing="0" w:after="0" w:afterAutospacing="0"/>
              <w:textAlignment w:val="baseline"/>
              <w:rPr>
                <w:rFonts w:ascii="Open Sans" w:hAnsi="Open Sans" w:cs="Open Sans"/>
                <w:color w:val="201F1E"/>
                <w:sz w:val="21"/>
                <w:szCs w:val="21"/>
                <w:shd w:val="clear" w:color="auto" w:fill="FFFFFF"/>
              </w:rPr>
            </w:pPr>
            <w:hyperlink r:id="rId14" w:tgtFrame="_blank" w:history="1">
              <w:r>
                <w:rPr>
                  <w:rStyle w:val="Hyperlink"/>
                  <w:rFonts w:ascii="Open Sans" w:hAnsi="Open Sans" w:cs="Open Sans"/>
                  <w:color w:val="000000"/>
                  <w:sz w:val="21"/>
                  <w:szCs w:val="21"/>
                  <w:shd w:val="clear" w:color="auto" w:fill="FFFFFF"/>
                </w:rPr>
                <w:t>Cambridge Assessment International Education</w:t>
              </w:r>
            </w:hyperlink>
            <w:r>
              <w:rPr>
                <w:rFonts w:ascii="Open Sans" w:hAnsi="Open Sans" w:cs="Open Sans"/>
                <w:color w:val="201F1E"/>
                <w:sz w:val="21"/>
                <w:szCs w:val="21"/>
                <w:shd w:val="clear" w:color="auto" w:fill="FFFFFF"/>
              </w:rPr>
              <w:t> (Assessment for Learning in Mathematics)</w:t>
            </w:r>
          </w:p>
          <w:p w14:paraId="510086FF" w14:textId="77777777" w:rsidR="004A4A0C" w:rsidRPr="00DD0D06" w:rsidRDefault="004A4A0C" w:rsidP="004A4A0C">
            <w:pPr>
              <w:pStyle w:val="paragraph"/>
              <w:shd w:val="clear" w:color="auto" w:fill="FFFFFF"/>
              <w:spacing w:before="0" w:beforeAutospacing="0" w:after="0" w:afterAutospacing="0"/>
              <w:textAlignment w:val="baseline"/>
              <w:rPr>
                <w:rFonts w:ascii="Cambria" w:hAnsi="Cambria" w:cs="Segoe UI"/>
                <w:sz w:val="22"/>
                <w:szCs w:val="22"/>
              </w:rPr>
            </w:pPr>
          </w:p>
          <w:p w14:paraId="4CE8E436" w14:textId="1C47C778"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p>
          <w:p w14:paraId="02295E43" w14:textId="3F800723" w:rsidR="00A45230" w:rsidRPr="00702B9D" w:rsidRDefault="00A45230" w:rsidP="00021303">
            <w:pPr>
              <w:pStyle w:val="paragraph"/>
              <w:shd w:val="clear" w:color="auto" w:fill="FFFFFF"/>
              <w:spacing w:before="0" w:beforeAutospacing="0" w:after="0" w:afterAutospacing="0"/>
              <w:textAlignment w:val="baseline"/>
              <w:rPr>
                <w:rFonts w:ascii="Cambria" w:hAnsi="Cambria" w:cstheme="minorHAnsi"/>
                <w:sz w:val="20"/>
                <w:szCs w:val="20"/>
              </w:rPr>
            </w:pP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7FA192C"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(assessment data to inform planning).</w:t>
            </w:r>
          </w:p>
          <w:p w14:paraId="40A4652C" w14:textId="77777777" w:rsidR="004A4A0C" w:rsidRPr="006F133A" w:rsidRDefault="004A4A0C" w:rsidP="004A4A0C">
            <w:pPr>
              <w:pBdr>
                <w:top w:val="nil"/>
                <w:left w:val="nil"/>
                <w:bottom w:val="nil"/>
                <w:right w:val="nil"/>
                <w:between w:val="nil"/>
              </w:pBdr>
              <w:ind w:left="720"/>
              <w:rPr>
                <w:rFonts w:asciiTheme="minorHAnsi" w:hAnsiTheme="minorHAnsi" w:cstheme="minorHAnsi"/>
                <w:sz w:val="20"/>
                <w:szCs w:val="20"/>
              </w:rPr>
            </w:pPr>
          </w:p>
          <w:p w14:paraId="7DCA1C6A"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There are differences between Assessment of learning and Assessment For learning- including purpose and type. Black and William’s approach to ‘Inside the Black box’- raising classroom standards by assessment.  </w:t>
            </w:r>
          </w:p>
          <w:p w14:paraId="4DB10558" w14:textId="77777777" w:rsidR="004A4A0C" w:rsidRDefault="004A4A0C" w:rsidP="004A4A0C">
            <w:pPr>
              <w:pStyle w:val="ListParagraph"/>
              <w:rPr>
                <w:rFonts w:asciiTheme="minorHAnsi" w:hAnsiTheme="minorHAnsi" w:cstheme="minorHAnsi"/>
                <w:sz w:val="20"/>
                <w:szCs w:val="20"/>
              </w:rPr>
            </w:pPr>
          </w:p>
          <w:p w14:paraId="1B26DE1B"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 xml:space="preserve">What gun and knife violence entails.  </w:t>
            </w:r>
          </w:p>
          <w:p w14:paraId="3D23832E" w14:textId="77777777" w:rsidR="004A4A0C" w:rsidRPr="00DC5218" w:rsidRDefault="004A4A0C" w:rsidP="004A4A0C">
            <w:pPr>
              <w:pBdr>
                <w:top w:val="nil"/>
                <w:left w:val="nil"/>
                <w:bottom w:val="nil"/>
                <w:right w:val="nil"/>
                <w:between w:val="nil"/>
              </w:pBdr>
              <w:rPr>
                <w:rFonts w:asciiTheme="minorHAnsi" w:hAnsiTheme="minorHAnsi" w:cstheme="minorHAnsi"/>
                <w:sz w:val="20"/>
                <w:szCs w:val="20"/>
              </w:rPr>
            </w:pPr>
          </w:p>
          <w:p w14:paraId="166C5F98"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Risk factors that may make students more vulnerable to gun and knife violence, such as exposure to violence at home, gang involvement, or a history of trauma.</w:t>
            </w:r>
          </w:p>
          <w:p w14:paraId="569C0290" w14:textId="77777777" w:rsidR="004A4A0C" w:rsidRPr="00DC5218" w:rsidRDefault="004A4A0C" w:rsidP="004A4A0C">
            <w:pPr>
              <w:pBdr>
                <w:top w:val="nil"/>
                <w:left w:val="nil"/>
                <w:bottom w:val="nil"/>
                <w:right w:val="nil"/>
                <w:between w:val="nil"/>
              </w:pBdr>
              <w:rPr>
                <w:rFonts w:asciiTheme="minorHAnsi" w:hAnsiTheme="minorHAnsi" w:cstheme="minorHAnsi"/>
                <w:sz w:val="20"/>
                <w:szCs w:val="20"/>
              </w:rPr>
            </w:pPr>
          </w:p>
          <w:p w14:paraId="4E488AE5" w14:textId="3A1B3EEE" w:rsidR="00CB44DE" w:rsidRPr="00D21504" w:rsidRDefault="004A4A0C" w:rsidP="004A4A0C">
            <w:pPr>
              <w:rPr>
                <w:rFonts w:ascii="Cambria" w:hAnsi="Cambria"/>
                <w:b/>
                <w:bCs/>
                <w:sz w:val="20"/>
                <w:szCs w:val="20"/>
                <w:shd w:val="clear" w:color="auto" w:fill="FFFFFF"/>
              </w:rPr>
            </w:pPr>
            <w:r w:rsidRPr="00DC5218">
              <w:rPr>
                <w:rFonts w:asciiTheme="minorHAnsi" w:hAnsiTheme="minorHAnsi" w:cstheme="minorHAnsi"/>
                <w:sz w:val="20"/>
                <w:szCs w:val="20"/>
              </w:rPr>
              <w:t>The signs of potential involvement in gun and knife violence among their students.</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CB44DE" w:rsidRDefault="00C26EC1" w:rsidP="003324D5">
            <w:pPr>
              <w:jc w:val="center"/>
              <w:rPr>
                <w:rFonts w:ascii="Cambria" w:hAnsi="Cambria"/>
                <w:sz w:val="20"/>
                <w:szCs w:val="20"/>
              </w:rPr>
            </w:pPr>
            <w:r>
              <w:rPr>
                <w:rFonts w:ascii="Cambria" w:hAnsi="Cambria"/>
                <w:sz w:val="20"/>
                <w:szCs w:val="20"/>
              </w:rPr>
              <w:t>Y</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77777777" w:rsidR="00C26EC1" w:rsidRDefault="00C26EC1" w:rsidP="003324D5">
            <w:pPr>
              <w:jc w:val="center"/>
              <w:rPr>
                <w:rFonts w:ascii="Cambria" w:hAnsi="Cambria"/>
                <w:sz w:val="20"/>
                <w:szCs w:val="20"/>
              </w:rPr>
            </w:pPr>
            <w:r>
              <w:rPr>
                <w:rFonts w:ascii="Cambria" w:hAnsi="Cambria"/>
                <w:sz w:val="20"/>
                <w:szCs w:val="20"/>
              </w:rPr>
              <w:t>Y</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039B24BD" w14:textId="77777777" w:rsidR="00A45230" w:rsidRDefault="00A45230" w:rsidP="003324D5">
            <w:pPr>
              <w:jc w:val="center"/>
              <w:rPr>
                <w:rFonts w:ascii="Cambria" w:hAnsi="Cambria"/>
                <w:sz w:val="20"/>
                <w:szCs w:val="20"/>
              </w:rPr>
            </w:pPr>
          </w:p>
          <w:p w14:paraId="17248A47" w14:textId="77777777" w:rsidR="00C26EC1" w:rsidRDefault="00C26EC1" w:rsidP="003324D5">
            <w:pPr>
              <w:jc w:val="center"/>
              <w:rPr>
                <w:rFonts w:ascii="Cambria" w:hAnsi="Cambria"/>
                <w:sz w:val="20"/>
                <w:szCs w:val="20"/>
              </w:rPr>
            </w:pPr>
            <w:r>
              <w:rPr>
                <w:rFonts w:ascii="Cambria" w:hAnsi="Cambria"/>
                <w:sz w:val="20"/>
                <w:szCs w:val="20"/>
              </w:rPr>
              <w:t>Y</w:t>
            </w:r>
          </w:p>
          <w:p w14:paraId="050B3DDF" w14:textId="77777777" w:rsidR="00C26EC1" w:rsidRDefault="00C26EC1" w:rsidP="003324D5">
            <w:pPr>
              <w:jc w:val="center"/>
              <w:rPr>
                <w:rFonts w:ascii="Cambria" w:hAnsi="Cambria"/>
                <w:sz w:val="20"/>
                <w:szCs w:val="20"/>
              </w:rPr>
            </w:pPr>
          </w:p>
          <w:p w14:paraId="18C0119E" w14:textId="77777777" w:rsidR="00C26EC1" w:rsidRDefault="00C26EC1" w:rsidP="003324D5">
            <w:pPr>
              <w:jc w:val="center"/>
              <w:rPr>
                <w:rFonts w:ascii="Cambria" w:hAnsi="Cambria"/>
                <w:sz w:val="20"/>
                <w:szCs w:val="20"/>
              </w:rPr>
            </w:pPr>
          </w:p>
          <w:p w14:paraId="1318132B" w14:textId="77777777" w:rsidR="004A4A0C" w:rsidRDefault="004A4A0C" w:rsidP="004A4A0C">
            <w:pPr>
              <w:jc w:val="center"/>
              <w:rPr>
                <w:rFonts w:ascii="Cambria" w:hAnsi="Cambria"/>
                <w:sz w:val="20"/>
                <w:szCs w:val="20"/>
              </w:rPr>
            </w:pPr>
            <w:r>
              <w:rPr>
                <w:rFonts w:ascii="Cambria" w:hAnsi="Cambria"/>
                <w:sz w:val="20"/>
                <w:szCs w:val="20"/>
              </w:rPr>
              <w:t>Y</w:t>
            </w:r>
          </w:p>
          <w:p w14:paraId="3D703EB7" w14:textId="77777777" w:rsidR="004A4A0C" w:rsidRDefault="004A4A0C" w:rsidP="004A4A0C">
            <w:pPr>
              <w:rPr>
                <w:rFonts w:ascii="Cambria" w:hAnsi="Cambria"/>
                <w:sz w:val="20"/>
                <w:szCs w:val="20"/>
              </w:rPr>
            </w:pPr>
          </w:p>
          <w:p w14:paraId="35372521" w14:textId="1DA426C6" w:rsidR="004A4A0C" w:rsidRDefault="004A4A0C" w:rsidP="004A4A0C">
            <w:pPr>
              <w:jc w:val="center"/>
              <w:rPr>
                <w:rFonts w:ascii="Cambria" w:hAnsi="Cambria"/>
                <w:sz w:val="20"/>
                <w:szCs w:val="20"/>
              </w:rPr>
            </w:pPr>
            <w:r>
              <w:rPr>
                <w:rFonts w:ascii="Cambria" w:hAnsi="Cambria"/>
                <w:sz w:val="20"/>
                <w:szCs w:val="20"/>
              </w:rPr>
              <w:t>Y</w:t>
            </w:r>
          </w:p>
          <w:p w14:paraId="4B8BF32E" w14:textId="77777777" w:rsidR="00C26EC1" w:rsidRDefault="00C26EC1" w:rsidP="003324D5">
            <w:pPr>
              <w:jc w:val="center"/>
              <w:rPr>
                <w:rFonts w:ascii="Cambria" w:hAnsi="Cambria"/>
                <w:sz w:val="20"/>
                <w:szCs w:val="20"/>
              </w:rPr>
            </w:pPr>
          </w:p>
          <w:p w14:paraId="500A010C" w14:textId="77777777" w:rsidR="00C26EC1" w:rsidRDefault="00C26EC1" w:rsidP="003324D5">
            <w:pPr>
              <w:jc w:val="center"/>
              <w:rPr>
                <w:rFonts w:ascii="Cambria" w:hAnsi="Cambria"/>
                <w:sz w:val="20"/>
                <w:szCs w:val="20"/>
              </w:rPr>
            </w:pPr>
          </w:p>
          <w:p w14:paraId="500548AF" w14:textId="487AA705" w:rsidR="00C26EC1" w:rsidRPr="00523D39" w:rsidRDefault="00C26EC1"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5630CF5"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Exemplify spaced repetition, through planning retrieval practice and structured tasks to demonstrate assessment of prior knowledge, knowledge gaps and misconceptions</w:t>
            </w:r>
            <w:r>
              <w:rPr>
                <w:rFonts w:asciiTheme="minorHAnsi" w:hAnsiTheme="minorHAnsi" w:cstheme="minorHAnsi"/>
                <w:sz w:val="20"/>
                <w:szCs w:val="20"/>
              </w:rPr>
              <w:t>.</w:t>
            </w:r>
          </w:p>
          <w:p w14:paraId="13F4DCF6" w14:textId="77777777" w:rsidR="004A4A0C" w:rsidRPr="006F133A" w:rsidRDefault="004A4A0C" w:rsidP="004A4A0C">
            <w:pPr>
              <w:pBdr>
                <w:top w:val="nil"/>
                <w:left w:val="nil"/>
                <w:bottom w:val="nil"/>
                <w:right w:val="nil"/>
                <w:between w:val="nil"/>
              </w:pBdr>
              <w:ind w:left="720"/>
              <w:rPr>
                <w:rFonts w:asciiTheme="minorHAnsi" w:hAnsiTheme="minorHAnsi" w:cstheme="minorHAnsi"/>
                <w:sz w:val="20"/>
                <w:szCs w:val="20"/>
              </w:rPr>
            </w:pPr>
          </w:p>
          <w:p w14:paraId="33CD95ED" w14:textId="77777777" w:rsidR="004A4A0C" w:rsidRDefault="004A4A0C" w:rsidP="004A4A0C">
            <w:pPr>
              <w:pBdr>
                <w:top w:val="nil"/>
                <w:left w:val="nil"/>
                <w:bottom w:val="nil"/>
                <w:right w:val="nil"/>
                <w:between w:val="nil"/>
              </w:pBdr>
              <w:rPr>
                <w:sz w:val="20"/>
                <w:szCs w:val="20"/>
              </w:rPr>
            </w:pPr>
            <w:r w:rsidRPr="006F133A">
              <w:rPr>
                <w:rFonts w:asciiTheme="minorHAnsi" w:hAnsiTheme="minorHAnsi" w:cstheme="minorHAnsi"/>
                <w:sz w:val="20"/>
                <w:szCs w:val="20"/>
              </w:rPr>
              <w:t xml:space="preserve">Evaluate </w:t>
            </w:r>
            <w:r>
              <w:rPr>
                <w:rFonts w:asciiTheme="minorHAnsi" w:hAnsiTheme="minorHAnsi" w:cstheme="minorHAnsi"/>
                <w:sz w:val="20"/>
                <w:szCs w:val="20"/>
              </w:rPr>
              <w:t>mathematics</w:t>
            </w:r>
            <w:r w:rsidRPr="006F133A">
              <w:rPr>
                <w:rFonts w:asciiTheme="minorHAnsi" w:hAnsiTheme="minorHAnsi" w:cstheme="minorHAnsi"/>
                <w:sz w:val="20"/>
                <w:szCs w:val="20"/>
              </w:rPr>
              <w:t xml:space="preserve"> specific progression models e.g. </w:t>
            </w:r>
            <w:r w:rsidRPr="003B4AC1">
              <w:rPr>
                <w:sz w:val="20"/>
                <w:szCs w:val="20"/>
              </w:rPr>
              <w:t xml:space="preserve">NCETMs Checkpoints </w:t>
            </w:r>
            <w:r>
              <w:rPr>
                <w:sz w:val="20"/>
                <w:szCs w:val="20"/>
              </w:rPr>
              <w:t>and progression maps.</w:t>
            </w:r>
          </w:p>
          <w:p w14:paraId="70FD78D9" w14:textId="77777777" w:rsidR="004A4A0C" w:rsidRDefault="004A4A0C" w:rsidP="004A4A0C">
            <w:pPr>
              <w:pStyle w:val="ListParagraph"/>
              <w:rPr>
                <w:sz w:val="20"/>
                <w:szCs w:val="20"/>
              </w:rPr>
            </w:pPr>
          </w:p>
          <w:p w14:paraId="47120163"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Understand and adhere to school policies and procedures for reporting and addressing concerns related to gun and knife violence.</w:t>
            </w:r>
          </w:p>
          <w:p w14:paraId="18CC03D1" w14:textId="77777777" w:rsidR="004A4A0C" w:rsidRPr="00DC5218" w:rsidRDefault="004A4A0C" w:rsidP="004A4A0C">
            <w:pPr>
              <w:pBdr>
                <w:top w:val="nil"/>
                <w:left w:val="nil"/>
                <w:bottom w:val="nil"/>
                <w:right w:val="nil"/>
                <w:between w:val="nil"/>
              </w:pBdr>
              <w:rPr>
                <w:rFonts w:asciiTheme="minorHAnsi" w:hAnsiTheme="minorHAnsi" w:cstheme="minorHAnsi"/>
                <w:sz w:val="20"/>
                <w:szCs w:val="20"/>
              </w:rPr>
            </w:pPr>
          </w:p>
          <w:p w14:paraId="65BB1C06" w14:textId="77777777" w:rsidR="004A4A0C" w:rsidRDefault="004A4A0C" w:rsidP="004A4A0C">
            <w:p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Implement preventive measures within their classroom and school environments to reduce the risk of gun and knife violence.</w:t>
            </w:r>
          </w:p>
          <w:p w14:paraId="562F0DBC" w14:textId="77777777" w:rsidR="004A4A0C" w:rsidRPr="00DC5218" w:rsidRDefault="004A4A0C" w:rsidP="004A4A0C">
            <w:pPr>
              <w:pBdr>
                <w:top w:val="nil"/>
                <w:left w:val="nil"/>
                <w:bottom w:val="nil"/>
                <w:right w:val="nil"/>
                <w:between w:val="nil"/>
              </w:pBdr>
              <w:ind w:left="720"/>
              <w:rPr>
                <w:rFonts w:asciiTheme="minorHAnsi" w:hAnsiTheme="minorHAnsi" w:cstheme="minorHAnsi"/>
                <w:sz w:val="20"/>
                <w:szCs w:val="20"/>
              </w:rPr>
            </w:pPr>
          </w:p>
          <w:p w14:paraId="662ED34A" w14:textId="77777777" w:rsidR="004A4A0C" w:rsidRPr="00DC5218" w:rsidRDefault="004A4A0C" w:rsidP="004A4A0C">
            <w:p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Identify signs and risk factors associated with gun and knife violence among their students.</w:t>
            </w:r>
          </w:p>
          <w:p w14:paraId="78AF68F3" w14:textId="77777777" w:rsidR="0066365A" w:rsidRPr="00D82C61" w:rsidRDefault="0066365A" w:rsidP="0066365A">
            <w:pPr>
              <w:rPr>
                <w:rFonts w:asciiTheme="minorHAnsi" w:hAnsiTheme="minorHAnsi" w:cstheme="minorBidi"/>
                <w:sz w:val="20"/>
                <w:szCs w:val="20"/>
              </w:rPr>
            </w:pPr>
          </w:p>
          <w:p w14:paraId="3437E904" w14:textId="6EA37985" w:rsidR="0066365A" w:rsidRPr="00D21504" w:rsidRDefault="0066365A" w:rsidP="0066365A">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6365A" w:rsidRDefault="0066365A" w:rsidP="0066365A">
            <w:pPr>
              <w:rPr>
                <w:rFonts w:ascii="Cambria" w:hAnsi="Cambria"/>
                <w:sz w:val="20"/>
                <w:szCs w:val="20"/>
              </w:rPr>
            </w:pPr>
            <w:r w:rsidRPr="00C26EC1">
              <w:rPr>
                <w:rFonts w:ascii="Cambria" w:hAnsi="Cambria"/>
                <w:sz w:val="20"/>
                <w:szCs w:val="20"/>
              </w:rPr>
              <w:t>Y</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77777777" w:rsidR="0066365A" w:rsidRDefault="0066365A" w:rsidP="0066365A">
            <w:pPr>
              <w:rPr>
                <w:rFonts w:ascii="Cambria" w:hAnsi="Cambria"/>
                <w:sz w:val="20"/>
                <w:szCs w:val="20"/>
              </w:rPr>
            </w:pPr>
            <w:r>
              <w:rPr>
                <w:rFonts w:ascii="Cambria" w:hAnsi="Cambria"/>
                <w:sz w:val="20"/>
                <w:szCs w:val="20"/>
              </w:rPr>
              <w:t>Y</w:t>
            </w:r>
          </w:p>
          <w:p w14:paraId="73741454" w14:textId="77777777" w:rsidR="0066365A" w:rsidRDefault="0066365A" w:rsidP="0066365A">
            <w:pPr>
              <w:rPr>
                <w:rFonts w:ascii="Cambria" w:hAnsi="Cambria"/>
                <w:sz w:val="20"/>
                <w:szCs w:val="20"/>
              </w:rPr>
            </w:pPr>
          </w:p>
          <w:p w14:paraId="0520F0B3" w14:textId="77777777" w:rsidR="0066365A" w:rsidRDefault="0066365A" w:rsidP="0066365A">
            <w:pPr>
              <w:rPr>
                <w:rFonts w:ascii="Cambria" w:hAnsi="Cambria"/>
                <w:sz w:val="20"/>
                <w:szCs w:val="20"/>
              </w:rPr>
            </w:pPr>
          </w:p>
          <w:p w14:paraId="4C79A8C8" w14:textId="77777777" w:rsidR="00A45230" w:rsidRDefault="00A45230" w:rsidP="0066365A">
            <w:pPr>
              <w:rPr>
                <w:rFonts w:ascii="Cambria" w:hAnsi="Cambria"/>
                <w:sz w:val="20"/>
                <w:szCs w:val="20"/>
              </w:rPr>
            </w:pPr>
          </w:p>
          <w:p w14:paraId="76B7AB29" w14:textId="71DD28F8" w:rsidR="0066365A" w:rsidRDefault="0066365A" w:rsidP="0066365A">
            <w:pPr>
              <w:rPr>
                <w:rFonts w:ascii="Cambria" w:hAnsi="Cambria"/>
                <w:sz w:val="20"/>
                <w:szCs w:val="20"/>
              </w:rPr>
            </w:pPr>
            <w:r>
              <w:rPr>
                <w:rFonts w:ascii="Cambria" w:hAnsi="Cambria"/>
                <w:sz w:val="20"/>
                <w:szCs w:val="20"/>
              </w:rPr>
              <w:t>Y</w:t>
            </w:r>
          </w:p>
          <w:p w14:paraId="2E27F71F" w14:textId="77777777" w:rsidR="0066365A" w:rsidRDefault="0066365A" w:rsidP="0066365A">
            <w:pPr>
              <w:rPr>
                <w:rFonts w:ascii="Cambria" w:hAnsi="Cambria"/>
                <w:sz w:val="20"/>
                <w:szCs w:val="20"/>
              </w:rPr>
            </w:pPr>
          </w:p>
          <w:p w14:paraId="0FC59759" w14:textId="77777777" w:rsidR="0066365A" w:rsidRDefault="0066365A" w:rsidP="0066365A">
            <w:pPr>
              <w:rPr>
                <w:rFonts w:ascii="Cambria" w:hAnsi="Cambria"/>
                <w:sz w:val="20"/>
                <w:szCs w:val="20"/>
              </w:rPr>
            </w:pPr>
          </w:p>
          <w:p w14:paraId="49A14D7C" w14:textId="77777777" w:rsidR="00A45230" w:rsidRDefault="00A45230" w:rsidP="0066365A">
            <w:pPr>
              <w:rPr>
                <w:rFonts w:ascii="Cambria" w:hAnsi="Cambria"/>
                <w:sz w:val="20"/>
                <w:szCs w:val="20"/>
              </w:rPr>
            </w:pPr>
          </w:p>
          <w:p w14:paraId="4147A956" w14:textId="07C91E6F" w:rsidR="0066365A" w:rsidRDefault="0066365A" w:rsidP="0066365A">
            <w:pPr>
              <w:rPr>
                <w:rFonts w:ascii="Cambria" w:hAnsi="Cambria"/>
                <w:sz w:val="20"/>
                <w:szCs w:val="20"/>
              </w:rPr>
            </w:pPr>
            <w:r>
              <w:rPr>
                <w:rFonts w:ascii="Cambria" w:hAnsi="Cambria"/>
                <w:sz w:val="20"/>
                <w:szCs w:val="20"/>
              </w:rPr>
              <w:t>Y</w:t>
            </w: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52B0EA37" w14:textId="77777777" w:rsidR="004A4A0C"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681611C3" w14:textId="77777777" w:rsidR="004A4A0C" w:rsidRDefault="004A4A0C" w:rsidP="004A4A0C">
            <w:pPr>
              <w:pBdr>
                <w:top w:val="nil"/>
                <w:left w:val="nil"/>
                <w:bottom w:val="nil"/>
                <w:right w:val="nil"/>
                <w:between w:val="nil"/>
              </w:pBdr>
              <w:jc w:val="both"/>
              <w:rPr>
                <w:rFonts w:asciiTheme="minorHAnsi" w:hAnsiTheme="minorHAnsi" w:cstheme="minorBidi"/>
                <w:sz w:val="20"/>
                <w:szCs w:val="20"/>
              </w:rPr>
            </w:pPr>
            <w:r w:rsidRPr="26F4825D">
              <w:rPr>
                <w:rFonts w:asciiTheme="minorHAnsi" w:hAnsiTheme="minorHAnsi" w:cstheme="minorBidi"/>
                <w:sz w:val="20"/>
                <w:szCs w:val="20"/>
              </w:rPr>
              <w:t>How have you planned and implemented formative assessment tasks in your lessons, and how have you used the results to adjust your teaching and support your students' learning?</w:t>
            </w:r>
          </w:p>
          <w:p w14:paraId="31B45CD4" w14:textId="77777777" w:rsidR="004A4A0C" w:rsidRPr="00523D39" w:rsidRDefault="004A4A0C" w:rsidP="004A4A0C">
            <w:pPr>
              <w:pBdr>
                <w:top w:val="nil"/>
                <w:left w:val="nil"/>
                <w:bottom w:val="nil"/>
                <w:right w:val="nil"/>
                <w:between w:val="nil"/>
              </w:pBdr>
              <w:jc w:val="both"/>
              <w:rPr>
                <w:rFonts w:ascii="Cambria" w:hAnsi="Cambria"/>
                <w:b/>
                <w:bCs/>
                <w:sz w:val="20"/>
                <w:szCs w:val="20"/>
              </w:rPr>
            </w:pPr>
          </w:p>
          <w:p w14:paraId="6F59F593" w14:textId="77777777" w:rsidR="004A4A0C" w:rsidRPr="00523D39"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692EE9F5" w14:textId="77777777" w:rsidR="004A4A0C" w:rsidRPr="00523D39" w:rsidRDefault="004A4A0C" w:rsidP="004A4A0C">
            <w:pPr>
              <w:pBdr>
                <w:top w:val="nil"/>
                <w:left w:val="nil"/>
                <w:bottom w:val="nil"/>
                <w:right w:val="nil"/>
                <w:between w:val="nil"/>
              </w:pBdr>
              <w:ind w:left="720"/>
              <w:jc w:val="both"/>
              <w:rPr>
                <w:rFonts w:ascii="Cambria" w:hAnsi="Cambria"/>
                <w:b/>
                <w:bCs/>
                <w:sz w:val="20"/>
                <w:szCs w:val="20"/>
              </w:rPr>
            </w:pPr>
          </w:p>
          <w:p w14:paraId="47D24906" w14:textId="77777777" w:rsidR="004A4A0C"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69485008" w14:textId="77777777" w:rsidR="004A4A0C" w:rsidRDefault="004A4A0C" w:rsidP="004A4A0C">
            <w:pPr>
              <w:pBdr>
                <w:top w:val="nil"/>
                <w:left w:val="nil"/>
                <w:bottom w:val="nil"/>
                <w:right w:val="nil"/>
                <w:between w:val="nil"/>
              </w:pBdr>
              <w:jc w:val="both"/>
              <w:rPr>
                <w:rFonts w:asciiTheme="minorHAnsi" w:hAnsiTheme="minorHAnsi" w:cstheme="minorBidi"/>
                <w:sz w:val="20"/>
                <w:szCs w:val="20"/>
              </w:rPr>
            </w:pPr>
            <w:r w:rsidRPr="26F4825D">
              <w:rPr>
                <w:rFonts w:asciiTheme="minorHAnsi" w:hAnsiTheme="minorHAnsi" w:cstheme="minorBidi"/>
                <w:sz w:val="20"/>
                <w:szCs w:val="20"/>
              </w:rPr>
              <w:t xml:space="preserve">Describe a progression model in </w:t>
            </w:r>
            <w:r>
              <w:rPr>
                <w:rFonts w:asciiTheme="minorHAnsi" w:hAnsiTheme="minorHAnsi" w:cstheme="minorBidi"/>
                <w:sz w:val="20"/>
                <w:szCs w:val="20"/>
              </w:rPr>
              <w:t>mathematics</w:t>
            </w:r>
            <w:r w:rsidRPr="26F4825D">
              <w:rPr>
                <w:rFonts w:asciiTheme="minorHAnsi" w:hAnsiTheme="minorHAnsi" w:cstheme="minorBidi"/>
                <w:sz w:val="20"/>
                <w:szCs w:val="20"/>
              </w:rPr>
              <w:t xml:space="preserve"> and how you have used this.</w:t>
            </w:r>
          </w:p>
          <w:p w14:paraId="16332F7B" w14:textId="77777777" w:rsidR="004A4A0C" w:rsidRPr="00523D39" w:rsidRDefault="004A4A0C" w:rsidP="004A4A0C">
            <w:pPr>
              <w:pBdr>
                <w:top w:val="nil"/>
                <w:left w:val="nil"/>
                <w:bottom w:val="nil"/>
                <w:right w:val="nil"/>
                <w:between w:val="nil"/>
              </w:pBdr>
              <w:jc w:val="both"/>
              <w:rPr>
                <w:rFonts w:ascii="Cambria" w:hAnsi="Cambria"/>
                <w:b/>
                <w:bCs/>
                <w:sz w:val="20"/>
                <w:szCs w:val="20"/>
              </w:rPr>
            </w:pPr>
          </w:p>
          <w:p w14:paraId="44B13CBA" w14:textId="77777777" w:rsidR="004A4A0C" w:rsidRPr="00523D39" w:rsidRDefault="004A4A0C" w:rsidP="004A4A0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66365A" w:rsidRPr="00523D39" w:rsidRDefault="0066365A" w:rsidP="0066365A">
            <w:pPr>
              <w:pBdr>
                <w:top w:val="nil"/>
                <w:left w:val="nil"/>
                <w:bottom w:val="nil"/>
                <w:right w:val="nil"/>
                <w:between w:val="nil"/>
              </w:pBdr>
              <w:ind w:left="720"/>
              <w:jc w:val="both"/>
              <w:rPr>
                <w:rFonts w:ascii="Cambria" w:hAnsi="Cambria"/>
                <w:b/>
                <w:bCs/>
                <w:sz w:val="20"/>
                <w:szCs w:val="20"/>
              </w:rPr>
            </w:pPr>
          </w:p>
          <w:p w14:paraId="11852BB5" w14:textId="27192A8F" w:rsidR="0066365A" w:rsidRPr="00523D39" w:rsidRDefault="0066365A" w:rsidP="0066365A">
            <w:pPr>
              <w:pBdr>
                <w:top w:val="nil"/>
                <w:left w:val="nil"/>
                <w:bottom w:val="nil"/>
                <w:right w:val="nil"/>
                <w:between w:val="nil"/>
              </w:pBdr>
              <w:jc w:val="both"/>
              <w:rPr>
                <w:rFonts w:ascii="Cambria" w:hAnsi="Cambria"/>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31E19D4"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07F9E625"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6365A" w:rsidRPr="00F83C7A" w:rsidRDefault="004A4A0C" w:rsidP="0066365A">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6365A">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4A4A0C"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4A4A0C"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8"/>
  </w:num>
  <w:num w:numId="2" w16cid:durableId="745959156">
    <w:abstractNumId w:val="5"/>
  </w:num>
  <w:num w:numId="3" w16cid:durableId="365060952">
    <w:abstractNumId w:val="4"/>
  </w:num>
  <w:num w:numId="4" w16cid:durableId="970749666">
    <w:abstractNumId w:val="1"/>
  </w:num>
  <w:num w:numId="5" w16cid:durableId="375013857">
    <w:abstractNumId w:val="11"/>
  </w:num>
  <w:num w:numId="6" w16cid:durableId="995718178">
    <w:abstractNumId w:val="13"/>
  </w:num>
  <w:num w:numId="7" w16cid:durableId="208495139">
    <w:abstractNumId w:val="7"/>
  </w:num>
  <w:num w:numId="8" w16cid:durableId="681662471">
    <w:abstractNumId w:val="10"/>
  </w:num>
  <w:num w:numId="9" w16cid:durableId="769281397">
    <w:abstractNumId w:val="6"/>
  </w:num>
  <w:num w:numId="10" w16cid:durableId="1403983886">
    <w:abstractNumId w:val="12"/>
  </w:num>
  <w:num w:numId="11" w16cid:durableId="1087381121">
    <w:abstractNumId w:val="2"/>
  </w:num>
  <w:num w:numId="12" w16cid:durableId="129786804">
    <w:abstractNumId w:val="3"/>
  </w:num>
  <w:num w:numId="13" w16cid:durableId="1645425847">
    <w:abstractNumId w:val="0"/>
  </w:num>
  <w:num w:numId="14" w16cid:durableId="60091160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1303"/>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195E"/>
    <w:rsid w:val="002D6840"/>
    <w:rsid w:val="002D71BC"/>
    <w:rsid w:val="002F0646"/>
    <w:rsid w:val="003324D5"/>
    <w:rsid w:val="00341E44"/>
    <w:rsid w:val="003433DA"/>
    <w:rsid w:val="003558A2"/>
    <w:rsid w:val="00360B99"/>
    <w:rsid w:val="00360FDF"/>
    <w:rsid w:val="00362E65"/>
    <w:rsid w:val="0036642F"/>
    <w:rsid w:val="00387F4F"/>
    <w:rsid w:val="00393C9C"/>
    <w:rsid w:val="003A17F2"/>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A4A0C"/>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15D7"/>
    <w:rsid w:val="006B3909"/>
    <w:rsid w:val="006C0609"/>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64D7F"/>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D7CBB"/>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boldmaths.wordpress.com/2021/02/22/assessment-for-learning-hinge-question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a.ioe.ac.uk/id/eprint/32012/1/EFA_evaluation_report.pdf"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log.cambridgeinternational.org/top-tips-for-using-assessment-for-learning-in-math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Pickett</dc:creator>
  <cp:keywords/>
  <cp:lastModifiedBy>Martin Pickett</cp:lastModifiedBy>
  <cp:revision>12</cp:revision>
  <cp:lastPrinted>2023-05-18T14:08:00Z</cp:lastPrinted>
  <dcterms:created xsi:type="dcterms:W3CDTF">2023-10-05T10:42:00Z</dcterms:created>
  <dcterms:modified xsi:type="dcterms:W3CDTF">2023-11-25T09:36:00Z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