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83.0" w:type="dxa"/>
        <w:jc w:val="left"/>
        <w:tblInd w:w="-436.0" w:type="dxa"/>
        <w:tblLayout w:type="fixed"/>
        <w:tblLook w:val="0400"/>
      </w:tblPr>
      <w:tblGrid>
        <w:gridCol w:w="1887"/>
        <w:gridCol w:w="905"/>
        <w:gridCol w:w="1687"/>
        <w:gridCol w:w="1133"/>
        <w:gridCol w:w="557"/>
        <w:gridCol w:w="1719"/>
        <w:gridCol w:w="575"/>
        <w:gridCol w:w="1124"/>
        <w:gridCol w:w="1896"/>
        <w:tblGridChange w:id="0">
          <w:tblGrid>
            <w:gridCol w:w="1887"/>
            <w:gridCol w:w="905"/>
            <w:gridCol w:w="1687"/>
            <w:gridCol w:w="1133"/>
            <w:gridCol w:w="557"/>
            <w:gridCol w:w="1719"/>
            <w:gridCol w:w="575"/>
            <w:gridCol w:w="1124"/>
            <w:gridCol w:w="1896"/>
          </w:tblGrid>
        </w:tblGridChange>
      </w:tblGrid>
      <w:tr>
        <w:trPr>
          <w:cantSplit w:val="0"/>
          <w:trHeight w:val="680" w:hRule="atLeast"/>
          <w:tblHeader w:val="0"/>
        </w:trPr>
        <w:tc>
          <w:tcPr>
            <w:gridSpan w:val="9"/>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002">
            <w:pPr>
              <w:jc w:val="center"/>
              <w:rPr>
                <w:rFonts w:ascii="Cambria" w:cs="Cambria" w:eastAsia="Cambria" w:hAnsi="Cambria"/>
                <w:b w:val="1"/>
                <w:color w:val="ffffff"/>
                <w:sz w:val="20"/>
                <w:szCs w:val="20"/>
              </w:rPr>
            </w:pPr>
            <w:bookmarkStart w:colFirst="0" w:colLast="0" w:name="_gjdgxs" w:id="0"/>
            <w:bookmarkEnd w:id="0"/>
            <w:r w:rsidDel="00000000" w:rsidR="00000000" w:rsidRPr="00000000">
              <w:rPr>
                <w:rFonts w:ascii="Cambria" w:cs="Cambria" w:eastAsia="Cambria" w:hAnsi="Cambria"/>
                <w:b w:val="1"/>
                <w:color w:val="ffffff"/>
                <w:sz w:val="20"/>
                <w:szCs w:val="20"/>
                <w:rtl w:val="0"/>
              </w:rPr>
              <w:t xml:space="preserve">Welcome to the mentor Weekly Development Summary from the Department of Secondary and Further Education</w:t>
            </w:r>
          </w:p>
          <w:p w:rsidR="00000000" w:rsidDel="00000000" w:rsidP="00000000" w:rsidRDefault="00000000" w:rsidRPr="00000000" w14:paraId="00000003">
            <w:pPr>
              <w:jc w:val="center"/>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(AY 23/24)</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color w:val="ffffff"/>
                <w:sz w:val="20"/>
                <w:szCs w:val="20"/>
                <w:rtl w:val="0"/>
              </w:rPr>
              <w:t xml:space="preserve">Week 13</w:t>
            </w:r>
            <w:r w:rsidDel="00000000" w:rsidR="00000000" w:rsidRPr="00000000">
              <w:rPr>
                <w:rtl w:val="0"/>
              </w:rPr>
            </w:r>
          </w:p>
        </w:tc>
      </w:tr>
      <w:tr>
        <w:trPr>
          <w:cantSplit w:val="0"/>
          <w:trHeight w:val="650" w:hRule="atLeast"/>
          <w:tblHeader w:val="0"/>
        </w:trPr>
        <w:tc>
          <w:tcPr>
            <w:gridSpan w:val="9"/>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0D">
            <w:pPr>
              <w:jc w:val="both"/>
              <w:rPr>
                <w:b w:val="1"/>
              </w:rPr>
            </w:pPr>
            <w:r w:rsidDel="00000000" w:rsidR="00000000" w:rsidRPr="00000000">
              <w:rPr>
                <w:b w:val="1"/>
                <w:rtl w:val="0"/>
              </w:rPr>
              <w:t xml:space="preserve">Course: Secondary Computing (11-16) PGCE</w:t>
            </w:r>
          </w:p>
        </w:tc>
      </w:tr>
      <w:tr>
        <w:trPr>
          <w:cantSplit w:val="0"/>
          <w:trHeight w:val="12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jc w:val="both"/>
              <w:rPr>
                <w:b w:val="1"/>
              </w:rPr>
            </w:pPr>
            <w:r w:rsidDel="00000000" w:rsidR="00000000" w:rsidRPr="00000000">
              <w:rPr>
                <w:b w:val="1"/>
                <w:rtl w:val="0"/>
              </w:rPr>
              <w:t xml:space="preserve">Name of trainee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jc w:val="both"/>
              <w:rPr>
                <w:b w:val="1"/>
              </w:rPr>
            </w:pPr>
            <w:r w:rsidDel="00000000" w:rsidR="00000000" w:rsidRPr="00000000">
              <w:rPr>
                <w:b w:val="1"/>
                <w:rtl w:val="0"/>
              </w:rPr>
              <w:t xml:space="preserve">Trainee ID no.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both"/>
              <w:rPr>
                <w:b w:val="1"/>
              </w:rPr>
            </w:pPr>
            <w:r w:rsidDel="00000000" w:rsidR="00000000" w:rsidRPr="00000000">
              <w:rPr>
                <w:b w:val="1"/>
                <w:rtl w:val="0"/>
              </w:rPr>
              <w:t xml:space="preserve">Name of mentor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both"/>
              <w:rPr>
                <w:b w:val="1"/>
              </w:rPr>
            </w:pPr>
            <w:r w:rsidDel="00000000" w:rsidR="00000000" w:rsidRPr="00000000">
              <w:rPr>
                <w:b w:val="1"/>
                <w:rtl w:val="0"/>
              </w:rPr>
              <w:t xml:space="preserve">Professional Practice phase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both"/>
              <w:rPr>
                <w:b w:val="1"/>
              </w:rPr>
            </w:pPr>
            <w:r w:rsidDel="00000000" w:rsidR="00000000" w:rsidRPr="00000000">
              <w:rPr>
                <w:b w:val="1"/>
                <w:rtl w:val="0"/>
              </w:rPr>
              <w:t xml:space="preserve">Introductory</w:t>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both"/>
              <w:rPr>
                <w:b w:val="1"/>
              </w:rPr>
            </w:pPr>
            <w:r w:rsidDel="00000000" w:rsidR="00000000" w:rsidRPr="00000000">
              <w:rPr>
                <w:b w:val="1"/>
                <w:rtl w:val="0"/>
              </w:rPr>
              <w:t xml:space="preserve">Name of Link Tutor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b w:val="1"/>
              </w:rPr>
            </w:pPr>
            <w:r w:rsidDel="00000000" w:rsidR="00000000" w:rsidRPr="00000000">
              <w:rPr>
                <w:b w:val="1"/>
                <w:rtl w:val="0"/>
              </w:rPr>
              <w:t xml:space="preserve">Name of setting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both"/>
              <w:rPr>
                <w:b w:val="1"/>
              </w:rPr>
            </w:pPr>
            <w:r w:rsidDel="00000000" w:rsidR="00000000" w:rsidRPr="00000000">
              <w:rPr>
                <w:b w:val="1"/>
                <w:rtl w:val="0"/>
              </w:rPr>
              <w:t xml:space="preserve">Programme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b w:val="1"/>
              </w:rPr>
            </w:pPr>
            <w:r w:rsidDel="00000000" w:rsidR="00000000" w:rsidRPr="00000000">
              <w:rPr>
                <w:b w:val="1"/>
                <w:rtl w:val="0"/>
              </w:rPr>
              <w:t xml:space="preserve">PGCE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both"/>
              <w:rPr>
                <w:b w:val="1"/>
              </w:rPr>
            </w:pPr>
            <w:r w:rsidDel="00000000" w:rsidR="00000000" w:rsidRPr="00000000">
              <w:rPr>
                <w:b w:val="1"/>
                <w:rtl w:val="0"/>
              </w:rPr>
              <w:t xml:space="preserve">Week beginning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center"/>
              <w:rPr>
                <w:b w:val="1"/>
              </w:rPr>
            </w:pPr>
            <w:r w:rsidDel="00000000" w:rsidR="00000000" w:rsidRPr="00000000">
              <w:rPr>
                <w:b w:val="1"/>
                <w:rtl w:val="0"/>
              </w:rPr>
              <w:t xml:space="preserve">Days trainee has attended this week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b w:val="1"/>
                <w:highlight w:val="green"/>
              </w:rPr>
            </w:pPr>
            <w:r w:rsidDel="00000000" w:rsidR="00000000" w:rsidRPr="00000000">
              <w:rPr>
                <w:b w:val="1"/>
                <w:highlight w:val="green"/>
                <w:rtl w:val="0"/>
              </w:rPr>
              <w:t xml:space="preserve">Monday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b w:val="1"/>
                <w:highlight w:val="green"/>
              </w:rPr>
            </w:pPr>
            <w:r w:rsidDel="00000000" w:rsidR="00000000" w:rsidRPr="00000000">
              <w:rPr>
                <w:b w:val="1"/>
                <w:highlight w:val="green"/>
                <w:rtl w:val="0"/>
              </w:rPr>
              <w:t xml:space="preserve">Tuesday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b w:val="1"/>
                <w:highlight w:val="green"/>
              </w:rPr>
            </w:pPr>
            <w:r w:rsidDel="00000000" w:rsidR="00000000" w:rsidRPr="00000000">
              <w:rPr>
                <w:b w:val="1"/>
                <w:highlight w:val="green"/>
                <w:rtl w:val="0"/>
              </w:rPr>
              <w:t xml:space="preserve">Wednesday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b w:val="1"/>
                <w:highlight w:val="green"/>
              </w:rPr>
            </w:pPr>
            <w:r w:rsidDel="00000000" w:rsidR="00000000" w:rsidRPr="00000000">
              <w:rPr>
                <w:b w:val="1"/>
                <w:highlight w:val="green"/>
                <w:rtl w:val="0"/>
              </w:rPr>
              <w:t xml:space="preserve">Thursday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b w:val="1"/>
                <w:highlight w:val="green"/>
              </w:rPr>
            </w:pPr>
            <w:r w:rsidDel="00000000" w:rsidR="00000000" w:rsidRPr="00000000">
              <w:rPr>
                <w:b w:val="1"/>
                <w:highlight w:val="green"/>
                <w:rtl w:val="0"/>
              </w:rPr>
              <w:t xml:space="preserve">Friday</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b w:val="1"/>
              </w:rPr>
            </w:pPr>
            <w:r w:rsidDel="00000000" w:rsidR="00000000" w:rsidRPr="00000000">
              <w:rPr>
                <w:b w:val="1"/>
                <w:rtl w:val="0"/>
              </w:rPr>
              <w:t xml:space="preserve">Key reading for the week</w:t>
            </w:r>
          </w:p>
          <w:p w:rsidR="00000000" w:rsidDel="00000000" w:rsidP="00000000" w:rsidRDefault="00000000" w:rsidRPr="00000000" w14:paraId="00000044">
            <w:pPr>
              <w:jc w:val="center"/>
              <w:rPr>
                <w:b w:val="1"/>
              </w:rPr>
            </w:pPr>
            <w:r w:rsidDel="00000000" w:rsidR="00000000" w:rsidRPr="00000000">
              <w:rPr/>
              <w:drawing>
                <wp:inline distB="0" distT="0" distL="0" distR="0">
                  <wp:extent cx="633730" cy="63373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33730" cy="63373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Wittwer and Renkl's (2010) research on instructional explanations involved 21 studies and 28 pairwise comparisons. The findings revealed minimal benefits overall and variability. Instructional explanations were more effective for imparting substantive knowledge than procedural knowledge and once again the findings were inconsistent across different domains. Surprisingly, the type of explanation and self-explanation prompts did not significantly affect effectiveness. The findings stressed that instructional explanations were complex and to be more impactful a more balanced approach is needed to suit the needs of learners in their particular context</w:t>
              <w:br w:type="textWrapp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Limitations</w:t>
            </w:r>
          </w:p>
          <w:p w:rsidR="00000000" w:rsidDel="00000000" w:rsidP="00000000" w:rsidRDefault="00000000" w:rsidRPr="00000000" w14:paraId="00000049">
            <w:pPr>
              <w:jc w:val="both"/>
              <w:rPr/>
            </w:pPr>
            <w:r w:rsidDel="00000000" w:rsidR="00000000" w:rsidRPr="00000000">
              <w:rPr>
                <w:rtl w:val="0"/>
              </w:rPr>
              <w:t xml:space="preserve">Limitations include substantial variation in effect sizes across domains. The focus on Maths and Science excludes subject-specific nuances; examining all key stages and subjects is recommended for a holistic analysis.</w:t>
            </w:r>
          </w:p>
          <w:p w:rsidR="00000000" w:rsidDel="00000000" w:rsidP="00000000" w:rsidRDefault="00000000" w:rsidRPr="00000000" w14:paraId="0000004A">
            <w:pPr>
              <w:jc w:val="both"/>
              <w:rPr>
                <w:b w:val="1"/>
              </w:rPr>
            </w:pPr>
            <w:r w:rsidDel="00000000" w:rsidR="00000000" w:rsidRPr="00000000">
              <w:rPr>
                <w:b w:val="1"/>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Wittwer, J., &amp; Renkl, A. (2010) How Effective are Instructional Explanations in Example-Based Learning? A Meta-Analytic Review. Educational Psychology Review, 22(4), 393–409.  </w:t>
            </w:r>
            <w:hyperlink r:id="rId7">
              <w:r w:rsidDel="00000000" w:rsidR="00000000" w:rsidRPr="00000000">
                <w:rPr>
                  <w:b w:val="1"/>
                  <w:color w:val="1155cc"/>
                  <w:u w:val="single"/>
                  <w:rtl w:val="0"/>
                </w:rPr>
                <w:t xml:space="preserve">https://link.springer.com/article/10.1007/s10648-010-9136-5</w:t>
              </w:r>
            </w:hyperlink>
            <w:r w:rsidDel="00000000" w:rsidR="00000000" w:rsidRPr="00000000">
              <w:rPr>
                <w:b w:val="1"/>
                <w:rtl w:val="0"/>
              </w:rPr>
              <w:t xml:space="preserve"> </w:t>
            </w:r>
            <w:r w:rsidDel="00000000" w:rsidR="00000000" w:rsidRPr="00000000">
              <w:rPr>
                <w:rtl w:val="0"/>
              </w:rPr>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37" w:lineRule="auto"/>
              <w:jc w:val="center"/>
              <w:rPr>
                <w:b w:val="1"/>
              </w:rPr>
            </w:pPr>
            <w:r w:rsidDel="00000000" w:rsidR="00000000" w:rsidRPr="00000000">
              <w:rPr>
                <w:b w:val="1"/>
                <w:rtl w:val="0"/>
              </w:rPr>
              <w:t xml:space="preserve">Support for mentoring in this subject</w:t>
            </w:r>
          </w:p>
          <w:p w:rsidR="00000000" w:rsidDel="00000000" w:rsidP="00000000" w:rsidRDefault="00000000" w:rsidRPr="00000000" w14:paraId="00000055">
            <w:pPr>
              <w:spacing w:line="237" w:lineRule="auto"/>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drawing>
                <wp:inline distB="0" distT="0" distL="0" distR="0">
                  <wp:extent cx="586105" cy="5715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86105" cy="57150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color w:val="201f1e"/>
                <w:rtl w:val="0"/>
              </w:rPr>
              <w:t xml:space="preserve">SHERRINGTON, T., 2021. Five Ways to: Scaffold Classroom Dialogue. teacherhead. Blog [online]. 1 December. Available from: </w:t>
            </w:r>
            <w:hyperlink r:id="rId9">
              <w:r w:rsidDel="00000000" w:rsidR="00000000" w:rsidRPr="00000000">
                <w:rPr>
                  <w:color w:val="1155cc"/>
                  <w:u w:val="single"/>
                  <w:rtl w:val="0"/>
                </w:rPr>
                <w:t xml:space="preserve">https://teacherhead.com/2021/12/01/five-ways-to-scaffold-classroom-dialogue/</w:t>
              </w:r>
            </w:hyperlink>
            <w:r w:rsidDel="00000000" w:rsidR="00000000" w:rsidRPr="00000000">
              <w:rPr>
                <w:color w:val="201f1e"/>
                <w:rtl w:val="0"/>
              </w:rPr>
              <w:t xml:space="preserve"> </w:t>
              <w:br w:type="textWrapping"/>
              <w:t xml:space="preserve">Kitchen Pedagogy: Modelling, 2020. Available from: </w:t>
            </w:r>
            <w:hyperlink r:id="rId10">
              <w:r w:rsidDel="00000000" w:rsidR="00000000" w:rsidRPr="00000000">
                <w:rPr>
                  <w:color w:val="1155cc"/>
                  <w:u w:val="single"/>
                  <w:rtl w:val="0"/>
                </w:rPr>
                <w:t xml:space="preserve">https://www.youtube.com/watch?v=8JL71Vj8-1c</w:t>
              </w:r>
            </w:hyperlink>
            <w:r w:rsidDel="00000000" w:rsidR="00000000" w:rsidRPr="00000000">
              <w:rPr>
                <w:color w:val="201f1e"/>
                <w:rtl w:val="0"/>
              </w:rPr>
              <w:t xml:space="preserve"> </w:t>
              <w:br w:type="textWrapping"/>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both"/>
              <w:rPr>
                <w:b w:val="1"/>
              </w:rPr>
            </w:pPr>
            <w:r w:rsidDel="00000000" w:rsidR="00000000" w:rsidRPr="00000000">
              <w:rPr>
                <w:rtl w:val="0"/>
              </w:rPr>
            </w:r>
          </w:p>
        </w:tc>
      </w:tr>
    </w:tbl>
    <w:p w:rsidR="00000000" w:rsidDel="00000000" w:rsidP="00000000" w:rsidRDefault="00000000" w:rsidRPr="00000000" w14:paraId="00000061">
      <w:pPr>
        <w:rPr/>
      </w:pPr>
      <w:r w:rsidDel="00000000" w:rsidR="00000000" w:rsidRPr="00000000">
        <w:br w:type="page"/>
      </w:r>
      <w:r w:rsidDel="00000000" w:rsidR="00000000" w:rsidRPr="00000000">
        <w:rPr>
          <w:rtl w:val="0"/>
        </w:rPr>
      </w:r>
    </w:p>
    <w:tbl>
      <w:tblPr>
        <w:tblStyle w:val="Table2"/>
        <w:tblW w:w="11483.000000000002" w:type="dxa"/>
        <w:jc w:val="left"/>
        <w:tblInd w:w="-436.0" w:type="dxa"/>
        <w:tblLayout w:type="fixed"/>
        <w:tblLook w:val="0400"/>
      </w:tblPr>
      <w:tblGrid>
        <w:gridCol w:w="1887"/>
        <w:gridCol w:w="4798"/>
        <w:gridCol w:w="4094"/>
        <w:gridCol w:w="47"/>
        <w:gridCol w:w="657"/>
        <w:tblGridChange w:id="0">
          <w:tblGrid>
            <w:gridCol w:w="1887"/>
            <w:gridCol w:w="4798"/>
            <w:gridCol w:w="4094"/>
            <w:gridCol w:w="47"/>
            <w:gridCol w:w="657"/>
          </w:tblGrid>
        </w:tblGridChange>
      </w:tblGrid>
      <w:tr>
        <w:trPr>
          <w:cantSplit w:val="0"/>
          <w:trHeight w:val="26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2">
            <w:pPr>
              <w:spacing w:line="237" w:lineRule="auto"/>
              <w:jc w:val="center"/>
              <w:rPr>
                <w:b w:val="1"/>
              </w:rPr>
            </w:pPr>
            <w:r w:rsidDel="00000000" w:rsidR="00000000" w:rsidRPr="00000000">
              <w:rPr>
                <w:rtl w:val="0"/>
              </w:rPr>
            </w:r>
          </w:p>
          <w:p w:rsidR="00000000" w:rsidDel="00000000" w:rsidP="00000000" w:rsidRDefault="00000000" w:rsidRPr="00000000" w14:paraId="00000063">
            <w:pPr>
              <w:spacing w:line="237" w:lineRule="auto"/>
              <w:jc w:val="center"/>
              <w:rPr>
                <w:b w:val="1"/>
              </w:rPr>
            </w:pPr>
            <w:r w:rsidDel="00000000" w:rsidR="00000000" w:rsidRPr="00000000">
              <w:rPr>
                <w:rtl w:val="0"/>
              </w:rPr>
            </w:r>
          </w:p>
          <w:p w:rsidR="00000000" w:rsidDel="00000000" w:rsidP="00000000" w:rsidRDefault="00000000" w:rsidRPr="00000000" w14:paraId="00000064">
            <w:pPr>
              <w:spacing w:line="237" w:lineRule="auto"/>
              <w:jc w:val="center"/>
              <w:rPr>
                <w:b w:val="1"/>
              </w:rPr>
            </w:pPr>
            <w:r w:rsidDel="00000000" w:rsidR="00000000" w:rsidRPr="00000000">
              <w:rPr>
                <w:b w:val="1"/>
                <w:rtl w:val="0"/>
              </w:rPr>
              <w:t xml:space="preserve">Curriculum for the week</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tabs>
                <w:tab w:val="center" w:leader="none" w:pos="1069"/>
              </w:tabs>
              <w:jc w:val="center"/>
              <w:rPr/>
            </w:pPr>
            <w:r w:rsidDel="00000000" w:rsidR="00000000" w:rsidRPr="00000000">
              <w:rPr/>
              <w:drawing>
                <wp:inline distB="0" distT="0" distL="0" distR="0">
                  <wp:extent cx="543560" cy="543560"/>
                  <wp:effectExtent b="0" l="0" r="0" t="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43560" cy="543560"/>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7">
            <w:pPr>
              <w:rPr>
                <w:b w:val="1"/>
              </w:rPr>
            </w:pPr>
            <w:r w:rsidDel="00000000" w:rsidR="00000000" w:rsidRPr="00000000">
              <w:rPr>
                <w:b w:val="1"/>
                <w:rtl w:val="0"/>
              </w:rPr>
              <w:t xml:space="preserve">This week trainees should have demonstrated that they know:</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A">
            <w:pPr>
              <w:jc w:val="center"/>
              <w:rPr>
                <w:b w:val="1"/>
              </w:rPr>
            </w:pPr>
            <w:r w:rsidDel="00000000" w:rsidR="00000000" w:rsidRPr="00000000">
              <w:rPr>
                <w:b w:val="1"/>
                <w:rtl w:val="0"/>
              </w:rPr>
              <w:t xml:space="preserve">Y/N</w:t>
            </w:r>
          </w:p>
          <w:p w:rsidR="00000000" w:rsidDel="00000000" w:rsidP="00000000" w:rsidRDefault="00000000" w:rsidRPr="00000000" w14:paraId="0000006B">
            <w:pPr>
              <w:jc w:val="center"/>
              <w:rPr>
                <w:b w:val="1"/>
              </w:rPr>
            </w:pPr>
            <w:r w:rsidDel="00000000" w:rsidR="00000000" w:rsidRPr="00000000">
              <w:rPr>
                <w:rtl w:val="0"/>
              </w:rPr>
            </w:r>
          </w:p>
        </w:tc>
      </w:tr>
      <w:tr>
        <w:trPr>
          <w:cantSplit w:val="0"/>
          <w:trHeight w:val="54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t xml:space="preserve">Review and respond week : modelling and scaffolding</w:t>
              <w:br w:type="textWrapping"/>
              <w:t xml:space="preserve">Scaffolding tasks can also help pupils in their learning and again links with the section on theories of learning linked to the ideas of Vygotsky and Social Constructivism and the notion of a zone of proximal development.</w:t>
              <w:br w:type="textWrapping"/>
              <w:t xml:space="preserve">What gangs are and how they can influence youth violence.</w:t>
              <w:br w:type="textWrapping"/>
              <w:t xml:space="preserve">The various factors that may lead young people to join gangs, such as social, economic, and environmental factors. </w:t>
              <w:br w:type="textWrapping"/>
              <w:t xml:space="preserve">Signs of potential gang involvement or youth violence among their students. These signs may include changes in behaviour, association with known gang members, a sudden increase in unexplained wealth, or participation in violent activities.</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center"/>
              <w:rPr/>
            </w:pPr>
            <w:r w:rsidDel="00000000" w:rsidR="00000000" w:rsidRPr="00000000">
              <w:rPr>
                <w:b w:val="1"/>
                <w:rtl w:val="0"/>
              </w:rPr>
              <w:t xml:space="preserve">Y</w:t>
            </w: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2">
            <w:pPr>
              <w:rPr>
                <w:b w:val="1"/>
              </w:rPr>
            </w:pPr>
            <w:r w:rsidDel="00000000" w:rsidR="00000000" w:rsidRPr="00000000">
              <w:rPr>
                <w:b w:val="1"/>
                <w:rtl w:val="0"/>
              </w:rPr>
              <w:t xml:space="preserve">This week trainees should have demonstrated that they know how to: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5">
            <w:pPr>
              <w:jc w:val="center"/>
              <w:rPr>
                <w:b w:val="1"/>
              </w:rPr>
            </w:pPr>
            <w:r w:rsidDel="00000000" w:rsidR="00000000" w:rsidRPr="00000000">
              <w:rPr>
                <w:b w:val="1"/>
                <w:rtl w:val="0"/>
              </w:rPr>
              <w:t xml:space="preserve">Y/N</w:t>
            </w:r>
          </w:p>
          <w:p w:rsidR="00000000" w:rsidDel="00000000" w:rsidP="00000000" w:rsidRDefault="00000000" w:rsidRPr="00000000" w14:paraId="00000076">
            <w:pPr>
              <w:jc w:val="center"/>
              <w:rPr>
                <w:b w:val="1"/>
              </w:rPr>
            </w:pP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Analyse modelling approaches used by your mentor and begin to develop your own approach and incorporate this into your practice.</w:t>
              <w:br w:type="textWrapping"/>
              <w:t xml:space="preserve">Highlight the importance of early intervention and collaboration with other professionals, such as social workers, and law enforcement, when necessary, to address potential issues related to gangs and youth violence.</w:t>
              <w:br w:type="textWrapping"/>
              <w:t xml:space="preserve">Discuss risk factors that may make students more vulnerable to gang involvement, such as a lack of positive role models, a history of trauma, substance abuse, or disengagement from school.</w:t>
              <w:br w:type="textWrapping"/>
              <w:t xml:space="preserve">Understand and implement strategies to prevent gang involvement and youth violence within their classroom and school environments.</w:t>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b w:val="1"/>
              </w:rPr>
            </w:pPr>
            <w:r w:rsidDel="00000000" w:rsidR="00000000" w:rsidRPr="00000000">
              <w:rPr>
                <w:b w:val="1"/>
                <w:rtl w:val="0"/>
              </w:rPr>
              <w:t xml:space="preserve">Y</w:t>
            </w:r>
            <w:r w:rsidDel="00000000" w:rsidR="00000000" w:rsidRPr="00000000">
              <w:rPr>
                <w:rtl w:val="0"/>
              </w:rPr>
            </w:r>
          </w:p>
        </w:tc>
      </w:tr>
      <w:tr>
        <w:trPr>
          <w:cantSplit w:val="0"/>
          <w:trHeight w:val="2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37" w:lineRule="auto"/>
              <w:jc w:val="center"/>
              <w:rPr>
                <w:b w:val="1"/>
              </w:rPr>
            </w:pPr>
            <w:r w:rsidDel="00000000" w:rsidR="00000000" w:rsidRPr="00000000">
              <w:rPr>
                <w:b w:val="1"/>
                <w:rtl w:val="0"/>
              </w:rPr>
              <w:t xml:space="preserve">Questions for mentor and trainee to discuss in mentor meeting       </w:t>
            </w:r>
            <w:r w:rsidDel="00000000" w:rsidR="00000000" w:rsidRPr="00000000">
              <w:rPr/>
              <w:drawing>
                <wp:inline distB="0" distT="0" distL="0" distR="0">
                  <wp:extent cx="419100" cy="633311"/>
                  <wp:effectExtent b="0" l="0" r="0" t="0"/>
                  <wp:docPr id="5"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419100" cy="633311"/>
                          </a:xfrm>
                          <a:prstGeom prst="rect"/>
                          <a:ln/>
                        </pic:spPr>
                      </pic:pic>
                    </a:graphicData>
                  </a:graphic>
                </wp:inline>
              </w:drawing>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ind w:left="0" w:firstLine="0"/>
              <w:jc w:val="both"/>
              <w:rPr>
                <w:b w:val="1"/>
              </w:rPr>
            </w:pPr>
            <w:r w:rsidDel="00000000" w:rsidR="00000000" w:rsidRPr="00000000">
              <w:rPr>
                <w:b w:val="1"/>
                <w:rtl w:val="0"/>
              </w:rPr>
              <w:t xml:space="preserve">1. Use the focus of discussions from mentor meetings, targets, lesson observation feedback and task to reflect on areas of focus and development. </w:t>
              <w:br w:type="textWrapping"/>
              <w:t xml:space="preserve">Mentor summary of trainee response: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0" w:firstLine="0"/>
              <w:jc w:val="both"/>
              <w:rPr>
                <w:b w:val="1"/>
              </w:rPr>
            </w:pPr>
            <w:r w:rsidDel="00000000" w:rsidR="00000000" w:rsidRPr="00000000">
              <w:rPr>
                <w:b w:val="1"/>
                <w:rtl w:val="0"/>
              </w:rPr>
              <w:br w:type="textWrapping"/>
              <w:t xml:space="preserve">2. Explore and reflect on how modelling and scaffolding is implemented in your setting.</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Mentor summary of trainee response:</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16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37" w:lineRule="auto"/>
              <w:jc w:val="center"/>
              <w:rPr>
                <w:b w:val="1"/>
              </w:rPr>
            </w:pPr>
            <w:r w:rsidDel="00000000" w:rsidR="00000000" w:rsidRPr="00000000">
              <w:rPr>
                <w:b w:val="1"/>
                <w:rtl w:val="0"/>
              </w:rPr>
              <w:t xml:space="preserve">Additional notes from mentor meeting</w:t>
            </w:r>
          </w:p>
          <w:p w:rsidR="00000000" w:rsidDel="00000000" w:rsidP="00000000" w:rsidRDefault="00000000" w:rsidRPr="00000000" w14:paraId="00000085">
            <w:pPr>
              <w:spacing w:line="237" w:lineRule="auto"/>
              <w:jc w:val="center"/>
              <w:rPr>
                <w:b w:val="1"/>
              </w:rPr>
            </w:pPr>
            <w:r w:rsidDel="00000000" w:rsidR="00000000" w:rsidRPr="00000000">
              <w:rPr/>
              <w:drawing>
                <wp:inline distB="0" distT="0" distL="0" distR="0">
                  <wp:extent cx="421580" cy="436460"/>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21580" cy="43646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237" w:lineRule="auto"/>
              <w:jc w:val="center"/>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01f1e"/>
                <w:sz w:val="22"/>
                <w:szCs w:val="22"/>
                <w:u w:val="none"/>
                <w:shd w:fill="auto" w:val="clear"/>
                <w:vertAlign w:val="baseline"/>
                <w:rtl w:val="0"/>
              </w:rPr>
              <w:t xml:space="preserve">For example, review of subject knowledge, relevant CPD, arrangements for upcoming lesson observation, school/department events etc.</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60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F">
            <w:pPr>
              <w:spacing w:line="237" w:lineRule="auto"/>
              <w:jc w:val="center"/>
              <w:rPr>
                <w:b w:val="1"/>
              </w:rPr>
            </w:pPr>
            <w:r w:rsidDel="00000000" w:rsidR="00000000" w:rsidRPr="00000000">
              <w:rPr>
                <w:b w:val="1"/>
                <w:rtl w:val="0"/>
              </w:rPr>
              <w:t xml:space="preserve">Trainee workload and well-being</w:t>
            </w:r>
            <w:r w:rsidDel="00000000" w:rsidR="00000000" w:rsidRPr="00000000">
              <w:rPr/>
              <w:drawing>
                <wp:inline distB="0" distT="0" distL="0" distR="0">
                  <wp:extent cx="610344" cy="610344"/>
                  <wp:effectExtent b="0" l="0" r="0" t="0"/>
                  <wp:docPr id="7"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610344" cy="610344"/>
                          </a:xfrm>
                          <a:prstGeom prst="rect"/>
                          <a:ln/>
                        </pic:spPr>
                      </pic:pic>
                    </a:graphicData>
                  </a:graphic>
                </wp:inline>
              </w:drawing>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b w:val="1"/>
              </w:rPr>
            </w:pPr>
            <w:r w:rsidDel="00000000" w:rsidR="00000000" w:rsidRPr="00000000">
              <w:rPr>
                <w:b w:val="1"/>
                <w:rtl w:val="0"/>
              </w:rPr>
              <w:t xml:space="preserve">Have strategies for workload been discussed?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b w:val="1"/>
              </w:rPr>
            </w:pPr>
            <w:r w:rsidDel="00000000" w:rsidR="00000000" w:rsidRPr="00000000">
              <w:rPr>
                <w:b w:val="1"/>
                <w:rtl w:val="0"/>
              </w:rPr>
              <w:t xml:space="preserve">Y</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the trainee’s wellbeing been discussed?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b w:val="1"/>
              </w:rPr>
            </w:pPr>
            <w:r w:rsidDel="00000000" w:rsidR="00000000" w:rsidRPr="00000000">
              <w:rPr>
                <w:b w:val="1"/>
                <w:rtl w:val="0"/>
              </w:rPr>
              <w:t xml:space="preserve">Y</w:t>
            </w:r>
          </w:p>
        </w:tc>
      </w:tr>
      <w:tr>
        <w:trPr>
          <w:cantSplit w:val="0"/>
          <w:trHeight w:val="602" w:hRule="atLeast"/>
          <w:tblHeader w:val="0"/>
        </w:trPr>
        <w:tc>
          <w:tcPr>
            <w:tcBorders>
              <w:left w:color="000000" w:space="0" w:sz="4" w:val="single"/>
              <w:right w:color="000000" w:space="0" w:sz="4" w:val="single"/>
            </w:tcBorders>
          </w:tcPr>
          <w:p w:rsidR="00000000" w:rsidDel="00000000" w:rsidP="00000000" w:rsidRDefault="00000000" w:rsidRPr="00000000" w14:paraId="0000009E">
            <w:pPr>
              <w:spacing w:line="237" w:lineRule="auto"/>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30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3">
            <w:pPr>
              <w:spacing w:line="237" w:lineRule="auto"/>
              <w:jc w:val="center"/>
              <w:rPr>
                <w:b w:val="1"/>
              </w:rPr>
            </w:pPr>
            <w:r w:rsidDel="00000000" w:rsidR="00000000" w:rsidRPr="00000000">
              <w:rPr>
                <w:b w:val="1"/>
                <w:rtl w:val="0"/>
              </w:rPr>
              <w:t xml:space="preserve">Opportunities identified for progress</w:t>
            </w:r>
            <w:r w:rsidDel="00000000" w:rsidR="00000000" w:rsidRPr="00000000">
              <w:rPr/>
              <w:drawing>
                <wp:inline distB="0" distT="0" distL="0" distR="0">
                  <wp:extent cx="635790" cy="660339"/>
                  <wp:effectExtent b="0" l="0" r="0" t="0"/>
                  <wp:docPr id="6"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635790" cy="660339"/>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To make progress through the curriculum the trainee needs to:</w:t>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Opportunity agrees for trainee to practise, observe, or receive feedback on this target</w:t>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41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7">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Current progress would suggest that the trainee is making sufficient progress through the curriculum to proceed:</w:t>
            </w:r>
          </w:p>
          <w:p w:rsidR="00000000" w:rsidDel="00000000" w:rsidP="00000000" w:rsidRDefault="00000000" w:rsidRPr="00000000" w14:paraId="000000B8">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w:t>
            </w:r>
          </w:p>
          <w:p w:rsidR="00000000" w:rsidDel="00000000" w:rsidP="00000000" w:rsidRDefault="00000000" w:rsidRPr="00000000" w14:paraId="000000B9">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 but this has required additional support </w:t>
            </w:r>
            <w:r w:rsidDel="00000000" w:rsidR="00000000" w:rsidRPr="00000000">
              <w:rPr>
                <w:rFonts w:ascii="Cambria" w:cs="Cambria" w:eastAsia="Cambria" w:hAnsi="Cambria"/>
                <w:b w:val="1"/>
                <w:sz w:val="14"/>
                <w:szCs w:val="14"/>
                <w:rtl w:val="0"/>
              </w:rPr>
              <w:t xml:space="preserve">(please list the additional support provided below. For example, a reduction in teaching load, additional meetings, use of team-teaching etc</w:t>
            </w:r>
            <w:r w:rsidDel="00000000" w:rsidR="00000000" w:rsidRPr="00000000">
              <w:rPr>
                <w:rFonts w:ascii="Cambria" w:cs="Cambria" w:eastAsia="Cambria" w:hAnsi="Cambria"/>
                <w:b w:val="1"/>
                <w:sz w:val="20"/>
                <w:szCs w:val="20"/>
                <w:rtl w:val="0"/>
              </w:rPr>
              <w:t xml:space="preserve">).</w:t>
            </w:r>
          </w:p>
          <w:p w:rsidR="00000000" w:rsidDel="00000000" w:rsidP="00000000" w:rsidRDefault="00000000" w:rsidRPr="00000000" w14:paraId="000000BA">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B">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C">
            <w:pPr>
              <w:rPr>
                <w:rFonts w:ascii="Georgia" w:cs="Georgia" w:eastAsia="Georgia" w:hAnsi="Georgia"/>
                <w:b w:val="1"/>
                <w:sz w:val="24"/>
                <w:szCs w:val="24"/>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No, despite additional support the trainee is not making sufficient progress through the curriculum. A Progress Support Plan should be considered.</w:t>
            </w:r>
            <w:r w:rsidDel="00000000" w:rsidR="00000000" w:rsidRPr="00000000">
              <w:rPr>
                <w:rFonts w:ascii="Georgia" w:cs="Georgia" w:eastAsia="Georgia" w:hAnsi="Georgia"/>
                <w:b w:val="1"/>
                <w:sz w:val="24"/>
                <w:szCs w:val="24"/>
                <w:rtl w:val="0"/>
              </w:rPr>
              <w:t xml:space="preserve"> </w:t>
            </w:r>
          </w:p>
        </w:tc>
      </w:tr>
    </w:tbl>
    <w:p w:rsidR="00000000" w:rsidDel="00000000" w:rsidP="00000000" w:rsidRDefault="00000000" w:rsidRPr="00000000" w14:paraId="000000C1">
      <w:pPr>
        <w:spacing w:after="0" w:lineRule="auto"/>
        <w:rPr/>
      </w:pPr>
      <w:r w:rsidDel="00000000" w:rsidR="00000000" w:rsidRPr="00000000">
        <w:rPr>
          <w:rtl w:val="0"/>
        </w:rPr>
      </w:r>
    </w:p>
    <w:tbl>
      <w:tblPr>
        <w:tblStyle w:val="Table3"/>
        <w:tblW w:w="11483.0" w:type="dxa"/>
        <w:jc w:val="left"/>
        <w:tblInd w:w="-441.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6" w:val="single"/>
        </w:tblBorders>
        <w:tblLayout w:type="fixed"/>
        <w:tblLook w:val="0600"/>
      </w:tblPr>
      <w:tblGrid>
        <w:gridCol w:w="2411"/>
        <w:gridCol w:w="9072"/>
        <w:tblGridChange w:id="0">
          <w:tblGrid>
            <w:gridCol w:w="2411"/>
            <w:gridCol w:w="9072"/>
          </w:tblGrid>
        </w:tblGridChange>
      </w:tblGrid>
      <w:tr>
        <w:trPr>
          <w:cantSplit w:val="0"/>
          <w:trHeight w:val="448" w:hRule="atLeast"/>
          <w:tblHeader w:val="0"/>
        </w:trPr>
        <w:tc>
          <w:tcPr>
            <w:shd w:fill="b4c6e7" w:val="clear"/>
          </w:tcPr>
          <w:p w:rsidR="00000000" w:rsidDel="00000000" w:rsidP="00000000" w:rsidRDefault="00000000" w:rsidRPr="00000000" w14:paraId="000000C2">
            <w:pPr>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Mentor </w:t>
            </w:r>
            <w:r w:rsidDel="00000000" w:rsidR="00000000" w:rsidRPr="00000000">
              <w:rPr>
                <w:rFonts w:ascii="Cambria" w:cs="Cambria" w:eastAsia="Cambria" w:hAnsi="Cambria"/>
                <w:rtl w:val="0"/>
              </w:rPr>
              <w:t xml:space="preserve">Signature</w:t>
            </w:r>
          </w:p>
          <w:p w:rsidR="00000000" w:rsidDel="00000000" w:rsidP="00000000" w:rsidRDefault="00000000" w:rsidRPr="00000000" w14:paraId="000000C3">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4">
            <w:pPr>
              <w:spacing w:after="0" w:line="240" w:lineRule="auto"/>
              <w:rPr>
                <w:rFonts w:ascii="Cambria" w:cs="Cambria" w:eastAsia="Cambria" w:hAnsi="Cambria"/>
              </w:rPr>
            </w:pPr>
            <w:r w:rsidDel="00000000" w:rsidR="00000000" w:rsidRPr="00000000">
              <w:rPr>
                <w:rtl w:val="0"/>
              </w:rPr>
            </w:r>
          </w:p>
        </w:tc>
      </w:tr>
      <w:tr>
        <w:trPr>
          <w:cantSplit w:val="0"/>
          <w:trHeight w:val="448" w:hRule="atLeast"/>
          <w:tblHeader w:val="0"/>
        </w:trPr>
        <w:tc>
          <w:tcPr>
            <w:shd w:fill="b4c6e7" w:val="clear"/>
          </w:tcPr>
          <w:p w:rsidR="00000000" w:rsidDel="00000000" w:rsidP="00000000" w:rsidRDefault="00000000" w:rsidRPr="00000000" w14:paraId="000000C5">
            <w:pPr>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Trainee </w:t>
            </w:r>
            <w:r w:rsidDel="00000000" w:rsidR="00000000" w:rsidRPr="00000000">
              <w:rPr>
                <w:rFonts w:ascii="Cambria" w:cs="Cambria" w:eastAsia="Cambria" w:hAnsi="Cambria"/>
                <w:rtl w:val="0"/>
              </w:rPr>
              <w:t xml:space="preserve">Signature</w:t>
            </w:r>
            <w:r w:rsidDel="00000000" w:rsidR="00000000" w:rsidRPr="00000000">
              <w:rPr>
                <w:rtl w:val="0"/>
              </w:rPr>
            </w:r>
          </w:p>
          <w:p w:rsidR="00000000" w:rsidDel="00000000" w:rsidP="00000000" w:rsidRDefault="00000000" w:rsidRPr="00000000" w14:paraId="000000C6">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448" w:hRule="atLeast"/>
          <w:tblHeader w:val="0"/>
        </w:trPr>
        <w:tc>
          <w:tcPr>
            <w:gridSpan w:val="2"/>
            <w:shd w:fill="auto" w:val="clear"/>
          </w:tcPr>
          <w:p w:rsidR="00000000" w:rsidDel="00000000" w:rsidP="00000000" w:rsidRDefault="00000000" w:rsidRPr="00000000" w14:paraId="000000C8">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Trainees should ensure this WDS is submitted by the deadline for the purpose of formative assessment. Failure to do prevents the Link Tutor from assessing their progress and may result in the trainee being placed on a Progress Support Plan.</w:t>
            </w:r>
          </w:p>
        </w:tc>
      </w:tr>
    </w:tbl>
    <w:p w:rsidR="00000000" w:rsidDel="00000000" w:rsidP="00000000" w:rsidRDefault="00000000" w:rsidRPr="00000000" w14:paraId="000000CA">
      <w:pPr>
        <w:spacing w:after="0" w:lineRule="auto"/>
        <w:rPr/>
      </w:pPr>
      <w:r w:rsidDel="00000000" w:rsidR="00000000" w:rsidRPr="00000000">
        <w:rPr>
          <w:rtl w:val="0"/>
        </w:rPr>
      </w:r>
    </w:p>
    <w:sectPr>
      <w:headerReference r:id="rId16" w:type="default"/>
      <w:footerReference r:id="rId1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-133302</wp:posOffset>
          </wp:positionV>
          <wp:extent cx="2297685" cy="41910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7685" cy="419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2">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hyperlink" Target="https://www.youtube.com/watch?v=8JL71Vj8-1c" TargetMode="External"/><Relationship Id="rId13" Type="http://schemas.openxmlformats.org/officeDocument/2006/relationships/image" Target="media/image2.pn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cherhead.com/2021/12/01/five-ways-to-scaffold-classroom-dialogue/" TargetMode="External"/><Relationship Id="rId15" Type="http://schemas.openxmlformats.org/officeDocument/2006/relationships/image" Target="media/image8.png"/><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link.springer.com/article/10.1007/s10648-010-9136-5"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