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4CD1CB5E"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00B56665" w:rsidRDefault="00BB0205" w14:paraId="2E8EA821" w14:textId="19B693D1">
            <w:pPr>
              <w:jc w:val="center"/>
              <w:rPr>
                <w:rFonts w:ascii="Cambria" w:hAnsi="Cambria" w:eastAsia="Georgia" w:cs="Georgia"/>
                <w:b/>
                <w:color w:val="FFFFFF" w:themeColor="background1"/>
                <w:sz w:val="20"/>
                <w:szCs w:val="20"/>
              </w:rPr>
            </w:pPr>
            <w:r w:rsidRPr="00523D39">
              <w:rPr>
                <w:rFonts w:ascii="Cambria" w:hAnsi="Cambria" w:eastAsia="Georgia" w:cs="Georgia"/>
                <w:b/>
                <w:color w:val="FFFFFF" w:themeColor="background1"/>
                <w:sz w:val="20"/>
                <w:szCs w:val="20"/>
              </w:rPr>
              <w:t xml:space="preserve"> Department of Secondary and Further Education</w:t>
            </w:r>
            <w:r w:rsidRPr="00523D39" w:rsidR="00966A4C">
              <w:rPr>
                <w:rFonts w:ascii="Cambria" w:hAnsi="Cambria" w:eastAsia="Georgia" w:cs="Georgia"/>
                <w:b/>
                <w:color w:val="FFFFFF" w:themeColor="background1"/>
                <w:sz w:val="20"/>
                <w:szCs w:val="20"/>
              </w:rPr>
              <w:t xml:space="preserve"> (AY 2</w:t>
            </w:r>
            <w:r w:rsidRPr="00523D39" w:rsidR="002D71BC">
              <w:rPr>
                <w:rFonts w:ascii="Cambria" w:hAnsi="Cambria" w:eastAsia="Georgia" w:cs="Georgia"/>
                <w:b/>
                <w:color w:val="FFFFFF" w:themeColor="background1"/>
                <w:sz w:val="20"/>
                <w:szCs w:val="20"/>
              </w:rPr>
              <w:t>3</w:t>
            </w:r>
            <w:r w:rsidRPr="00523D39" w:rsidR="00966A4C">
              <w:rPr>
                <w:rFonts w:ascii="Cambria" w:hAnsi="Cambria" w:eastAsia="Georgia" w:cs="Georgia"/>
                <w:b/>
                <w:color w:val="FFFFFF" w:themeColor="background1"/>
                <w:sz w:val="20"/>
                <w:szCs w:val="20"/>
              </w:rPr>
              <w:t>/2</w:t>
            </w:r>
            <w:r w:rsidRPr="00523D39" w:rsidR="002D71BC">
              <w:rPr>
                <w:rFonts w:ascii="Cambria" w:hAnsi="Cambria" w:eastAsia="Georgia" w:cs="Georgia"/>
                <w:b/>
                <w:color w:val="FFFFFF" w:themeColor="background1"/>
                <w:sz w:val="20"/>
                <w:szCs w:val="20"/>
              </w:rPr>
              <w:t>4</w:t>
            </w:r>
            <w:r w:rsidRPr="00523D39" w:rsidR="00966A4C">
              <w:rPr>
                <w:rFonts w:ascii="Cambria" w:hAnsi="Cambria" w:eastAsia="Georgia" w:cs="Georgia"/>
                <w:b/>
                <w:color w:val="FFFFFF" w:themeColor="background1"/>
                <w:sz w:val="20"/>
                <w:szCs w:val="20"/>
              </w:rPr>
              <w:t>)</w:t>
            </w:r>
            <w:r w:rsidR="00B56665">
              <w:rPr>
                <w:rFonts w:ascii="Cambria" w:hAnsi="Cambria" w:eastAsia="Georgia" w:cs="Georgia"/>
                <w:b/>
                <w:color w:val="FFFFFF" w:themeColor="background1"/>
                <w:sz w:val="20"/>
                <w:szCs w:val="20"/>
              </w:rPr>
              <w:t xml:space="preserve"> </w:t>
            </w:r>
            <w:r w:rsidRPr="00523D39" w:rsidR="006102D0">
              <w:rPr>
                <w:rFonts w:ascii="Cambria" w:hAnsi="Cambria" w:eastAsia="Georgia" w:cs="Georgia"/>
                <w:b/>
                <w:color w:val="FFFFFF" w:themeColor="background1"/>
                <w:sz w:val="20"/>
                <w:szCs w:val="20"/>
              </w:rPr>
              <w:t xml:space="preserve">Week </w:t>
            </w:r>
            <w:r w:rsidR="005F4A4E">
              <w:rPr>
                <w:rFonts w:ascii="Cambria" w:hAnsi="Cambria" w:eastAsia="Georgia" w:cs="Georgia"/>
                <w:b/>
                <w:color w:val="FFFFFF" w:themeColor="background1"/>
                <w:sz w:val="20"/>
                <w:szCs w:val="20"/>
              </w:rPr>
              <w:t>8</w:t>
            </w:r>
          </w:p>
        </w:tc>
      </w:tr>
      <w:tr w:rsidRPr="00F07217" w:rsidR="00E65DEB" w:rsidTr="4CD1CB5E"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4CD1CB5E"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4CD1CB5E"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2044BB5C">
            <w:pPr>
              <w:jc w:val="both"/>
              <w:rPr>
                <w:rFonts w:ascii="Cambria" w:hAnsi="Cambria"/>
                <w:b/>
                <w:bCs/>
                <w:sz w:val="20"/>
                <w:szCs w:val="20"/>
              </w:rPr>
            </w:pPr>
            <w:r>
              <w:rPr>
                <w:rFonts w:ascii="Cambria" w:hAnsi="Cambria"/>
                <w:b/>
                <w:bCs/>
                <w:sz w:val="20"/>
                <w:szCs w:val="20"/>
              </w:rPr>
              <w:t>Introductory (A)</w:t>
            </w:r>
          </w:p>
        </w:tc>
      </w:tr>
      <w:tr w:rsidRPr="00F07217" w:rsidR="004009A7" w:rsidTr="4CD1CB5E"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4CD1CB5E"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30B2B588" w14:paraId="2E3558FD" w14:textId="664BFBB4">
            <w:pPr>
              <w:jc w:val="both"/>
              <w:rPr>
                <w:rFonts w:ascii="Cambria" w:hAnsi="Cambria"/>
                <w:b w:val="1"/>
                <w:bCs w:val="1"/>
                <w:sz w:val="20"/>
                <w:szCs w:val="20"/>
              </w:rPr>
            </w:pPr>
            <w:r w:rsidRPr="4CD1CB5E" w:rsidR="2DAF0295">
              <w:rPr>
                <w:rFonts w:ascii="Cambria" w:hAnsi="Cambria"/>
                <w:b w:val="1"/>
                <w:bCs w:val="1"/>
                <w:sz w:val="20"/>
                <w:szCs w:val="20"/>
              </w:rPr>
              <w:t>04</w:t>
            </w:r>
            <w:r w:rsidRPr="4CD1CB5E" w:rsidR="5ABA93A9">
              <w:rPr>
                <w:rFonts w:ascii="Cambria" w:hAnsi="Cambria"/>
                <w:b w:val="1"/>
                <w:bCs w:val="1"/>
                <w:sz w:val="20"/>
                <w:szCs w:val="20"/>
              </w:rPr>
              <w:t>/1</w:t>
            </w:r>
            <w:r w:rsidRPr="4CD1CB5E" w:rsidR="4720F829">
              <w:rPr>
                <w:rFonts w:ascii="Cambria" w:hAnsi="Cambria"/>
                <w:b w:val="1"/>
                <w:bCs w:val="1"/>
                <w:sz w:val="20"/>
                <w:szCs w:val="20"/>
              </w:rPr>
              <w:t>2</w:t>
            </w:r>
            <w:r w:rsidRPr="4CD1CB5E" w:rsidR="5ABA93A9">
              <w:rPr>
                <w:rFonts w:ascii="Cambria" w:hAnsi="Cambria"/>
                <w:b w:val="1"/>
                <w:bCs w:val="1"/>
                <w:sz w:val="20"/>
                <w:szCs w:val="20"/>
              </w:rPr>
              <w:t>/2023</w:t>
            </w:r>
          </w:p>
        </w:tc>
      </w:tr>
      <w:tr w:rsidRPr="00F07217" w:rsidR="001506CA" w:rsidTr="4CD1CB5E"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02A5213D" w14:textId="596149F4">
            <w:pPr>
              <w:jc w:val="center"/>
              <w:rPr>
                <w:rFonts w:ascii="Cambria" w:hAnsi="Cambria"/>
                <w:b/>
                <w:bCs/>
                <w:sz w:val="20"/>
                <w:szCs w:val="20"/>
              </w:rPr>
            </w:pPr>
            <w:r w:rsidRPr="00523D39">
              <w:rPr>
                <w:rFonts w:ascii="Cambria" w:hAnsi="Cambria"/>
                <w:b/>
                <w:bCs/>
                <w:sz w:val="20"/>
                <w:szCs w:val="20"/>
              </w:rPr>
              <w:t>M</w:t>
            </w:r>
            <w:r w:rsidRPr="00523D39" w:rsidR="005113AE">
              <w:rPr>
                <w:rFonts w:ascii="Cambria" w:hAnsi="Cambria"/>
                <w:b/>
                <w:bCs/>
                <w:sz w:val="20"/>
                <w:szCs w:val="20"/>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13F8C042" w14:textId="5CF285E3">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48F46611" w14:textId="7F56CFAC">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62FC6C98" w14:textId="6FCE8062">
            <w:pPr>
              <w:jc w:val="center"/>
              <w:rPr>
                <w:rFonts w:ascii="Cambria" w:hAnsi="Cambria"/>
                <w:b/>
                <w:bCs/>
                <w:sz w:val="20"/>
                <w:szCs w:val="20"/>
              </w:rPr>
            </w:pPr>
            <w:r w:rsidRPr="00523D39">
              <w:rPr>
                <w:rFonts w:ascii="Cambria" w:hAnsi="Cambria"/>
                <w:b/>
                <w:bCs/>
                <w:sz w:val="20"/>
                <w:szCs w:val="20"/>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6F839360" w14:textId="12ADC1A0">
            <w:pPr>
              <w:jc w:val="center"/>
              <w:rPr>
                <w:rFonts w:ascii="Cambria" w:hAnsi="Cambria"/>
                <w:b/>
                <w:bCs/>
                <w:sz w:val="20"/>
                <w:szCs w:val="20"/>
              </w:rPr>
            </w:pPr>
            <w:r w:rsidRPr="00523D39">
              <w:rPr>
                <w:rFonts w:ascii="Cambria" w:hAnsi="Cambria"/>
                <w:b/>
                <w:bCs/>
                <w:sz w:val="20"/>
                <w:szCs w:val="20"/>
              </w:rPr>
              <w:t>Friday</w:t>
            </w:r>
          </w:p>
        </w:tc>
      </w:tr>
      <w:tr w:rsidRPr="00F07217" w:rsidR="0057496A" w:rsidTr="4CD1CB5E"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6C53551C" w:rsidRDefault="1FB2193F" w14:paraId="152FA847" w14:textId="6630F366">
            <w:pPr>
              <w:pStyle w:val="paragraph"/>
              <w:spacing w:before="0" w:beforeAutospacing="0" w:after="0" w:afterAutospacing="0"/>
              <w:textAlignment w:val="baseline"/>
              <w:rPr>
                <w:rStyle w:val="eop"/>
                <w:rFonts w:ascii="Cambria" w:hAnsi="Cambria" w:eastAsia="Cambria" w:cs="Cambria"/>
              </w:rPr>
            </w:pPr>
            <w:r w:rsidRPr="6C53551C">
              <w:rPr>
                <w:rFonts w:ascii="Cambria" w:hAnsi="Cambria" w:eastAsia="Cambria" w:cs="Cambria"/>
                <w:b/>
                <w:bCs/>
              </w:rPr>
              <w:t>Summary</w:t>
            </w:r>
            <w:r w:rsidRPr="6C53551C" w:rsidR="751BA3A1">
              <w:rPr>
                <w:rStyle w:val="normaltextrun"/>
                <w:rFonts w:ascii="Cambria" w:hAnsi="Cambria" w:eastAsia="Cambria" w:cs="Cambria"/>
                <w:shd w:val="clear" w:color="auto" w:fill="FFFFFF"/>
                <w:lang w:val="en-US"/>
              </w:rPr>
              <w:t xml:space="preserve"> </w:t>
            </w:r>
          </w:p>
          <w:p w:rsidR="6C53551C" w:rsidP="6C53551C" w:rsidRDefault="6C53551C" w14:paraId="7C2F0319" w14:textId="3DE4B8A2">
            <w:pPr>
              <w:pStyle w:val="paragraph"/>
              <w:spacing w:before="0" w:beforeAutospacing="0" w:after="0" w:afterAutospacing="0"/>
              <w:rPr>
                <w:rFonts w:ascii="Cambria" w:hAnsi="Cambria" w:eastAsia="Cambria" w:cs="Cambria"/>
                <w:color w:val="242424"/>
                <w:lang w:val="en-US"/>
              </w:rPr>
            </w:pPr>
          </w:p>
          <w:p w:rsidR="45D22F37" w:rsidP="4CD1CB5E" w:rsidRDefault="45D22F37" w14:paraId="45B33C20" w14:textId="519767B0">
            <w:pPr>
              <w:pStyle w:val="paragraph"/>
              <w:spacing w:before="0" w:beforeAutospacing="off" w:after="0" w:afterAutospacing="off"/>
              <w:rPr>
                <w:rFonts w:ascii="Cambria" w:hAnsi="Cambria" w:eastAsia="Cambria" w:cs="Cambria"/>
                <w:color w:val="242424"/>
                <w:lang w:val="en-US"/>
              </w:rPr>
            </w:pPr>
            <w:r w:rsidRPr="4CD1CB5E" w:rsidR="45D22F37">
              <w:rPr>
                <w:rFonts w:ascii="Cambria" w:hAnsi="Cambria" w:eastAsia="Cambria" w:cs="Cambria"/>
                <w:color w:val="242424"/>
                <w:lang w:val="en-US"/>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rsidRPr="00B56665" w:rsidR="00F45E23" w:rsidP="6C53551C" w:rsidRDefault="00F45E23" w14:paraId="4D2FE307" w14:textId="77777777">
            <w:pPr>
              <w:rPr>
                <w:rFonts w:ascii="Cambria" w:hAnsi="Cambria" w:eastAsia="Cambria" w:cs="Cambria"/>
                <w:sz w:val="24"/>
                <w:szCs w:val="24"/>
              </w:rPr>
            </w:pPr>
          </w:p>
          <w:p w:rsidR="627CABE2" w:rsidP="6C53551C" w:rsidRDefault="627CABE2" w14:paraId="2F13A612" w14:textId="07DEA2DF">
            <w:pPr>
              <w:rPr>
                <w:rFonts w:ascii="Cambria" w:hAnsi="Cambria" w:eastAsia="Cambria" w:cs="Cambria"/>
                <w:b/>
                <w:bCs/>
                <w:sz w:val="24"/>
                <w:szCs w:val="24"/>
              </w:rPr>
            </w:pPr>
            <w:r w:rsidRPr="6C53551C">
              <w:rPr>
                <w:rFonts w:ascii="Cambria" w:hAnsi="Cambria" w:eastAsia="Cambria" w:cs="Cambria"/>
                <w:b/>
                <w:bCs/>
                <w:sz w:val="24"/>
                <w:szCs w:val="24"/>
              </w:rPr>
              <w:t>Limitations</w:t>
            </w:r>
          </w:p>
          <w:p w:rsidR="6C53551C" w:rsidP="6C53551C" w:rsidRDefault="6C53551C" w14:paraId="60D921DA" w14:textId="709F8B71">
            <w:pPr>
              <w:rPr>
                <w:rFonts w:ascii="Cambria" w:hAnsi="Cambria" w:eastAsia="Cambria" w:cs="Cambria"/>
                <w:sz w:val="24"/>
                <w:szCs w:val="24"/>
              </w:rPr>
            </w:pPr>
          </w:p>
          <w:p w:rsidR="25C14021" w:rsidP="4CD1CB5E" w:rsidRDefault="25C14021" w14:paraId="0C1C53EA" w14:textId="2A46B117">
            <w:pPr>
              <w:pStyle w:val="Normal"/>
              <w:rPr>
                <w:rFonts w:ascii="Cambria" w:hAnsi="Cambria" w:eastAsia="Cambria" w:cs="Cambria"/>
                <w:sz w:val="24"/>
                <w:szCs w:val="24"/>
              </w:rPr>
            </w:pPr>
            <w:r w:rsidRPr="4CD1CB5E" w:rsidR="25C14021">
              <w:rPr>
                <w:rFonts w:ascii="Cambria" w:hAnsi="Cambria" w:eastAsia="Cambria" w:cs="Cambria"/>
                <w:sz w:val="24"/>
                <w:szCs w:val="24"/>
              </w:rPr>
              <w:t>Hattie's meta-meta-analyses face scrutiny for uncritically accepting underlying results, which indicate a 0.79 effect size for feedback. Understanding the nuanced nature of feedback requires further exploration.</w:t>
            </w:r>
          </w:p>
          <w:p w:rsidR="6C53551C" w:rsidP="6C53551C" w:rsidRDefault="6C53551C" w14:paraId="1A19B796" w14:textId="362B9F28">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6C53551C">
              <w:rPr>
                <w:rFonts w:ascii="Cambria" w:hAnsi="Cambria" w:cstheme="minorBidi"/>
                <w:b/>
                <w:bCs/>
              </w:rPr>
              <w:t>Reference</w:t>
            </w:r>
          </w:p>
          <w:p w:rsidRPr="00B56665" w:rsidR="00BE47F7" w:rsidP="6C53551C" w:rsidRDefault="00BE47F7" w14:paraId="7B6E6F63" w14:textId="47215741">
            <w:pPr>
              <w:pStyle w:val="paragraph"/>
              <w:spacing w:before="0" w:beforeAutospacing="0" w:after="0" w:afterAutospacing="0"/>
              <w:textAlignment w:val="baseline"/>
              <w:rPr>
                <w:rFonts w:ascii="Cambria" w:hAnsi="Cambria" w:cstheme="minorBidi"/>
                <w:b/>
                <w:bCs/>
              </w:rPr>
            </w:pPr>
          </w:p>
          <w:p w:rsidRPr="00B56665" w:rsidR="00BE47F7" w:rsidP="4CD1CB5E" w:rsidRDefault="2439EA69" w14:paraId="6071F449" w14:textId="62C99AA5">
            <w:pPr>
              <w:pStyle w:val="paragraph"/>
              <w:spacing w:before="0" w:beforeAutospacing="off" w:after="0" w:afterAutospacing="off"/>
              <w:textAlignment w:val="baseline"/>
              <w:rPr>
                <w:rFonts w:ascii="Cambria" w:hAnsi="Cambria" w:cs="Arial" w:cstheme="minorBidi"/>
              </w:rPr>
            </w:pPr>
            <w:r w:rsidRPr="4CD1CB5E" w:rsidR="5A36C1F8">
              <w:rPr>
                <w:rFonts w:ascii="Cambria" w:hAnsi="Cambria" w:cs="Arial" w:cstheme="minorBidi"/>
              </w:rPr>
              <w:t xml:space="preserve">Hattie, J., &amp; Timperley, H. (2007). The Power of Feedback. Review of Educational Research, 77(1), 81-112. </w:t>
            </w:r>
            <w:hyperlink r:id="Re4324d383b7e402d">
              <w:r w:rsidRPr="4CD1CB5E" w:rsidR="5A36C1F8">
                <w:rPr>
                  <w:rStyle w:val="Hyperlink"/>
                  <w:rFonts w:ascii="Cambria" w:hAnsi="Cambria" w:cs="Arial" w:cstheme="minorBidi"/>
                </w:rPr>
                <w:t>https://doi.org/10.3102/003465430298487</w:t>
              </w:r>
            </w:hyperlink>
            <w:r w:rsidRPr="4CD1CB5E" w:rsidR="5A36C1F8">
              <w:rPr>
                <w:rFonts w:ascii="Cambria" w:hAnsi="Cambria" w:cs="Arial" w:cstheme="minorBidi"/>
              </w:rPr>
              <w:t xml:space="preserve"> </w:t>
            </w:r>
          </w:p>
        </w:tc>
      </w:tr>
      <w:tr w:rsidRPr="00F07217" w:rsidR="00B5000E" w:rsidTr="4CD1CB5E"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5000E" w:rsidP="4CD1CB5E" w:rsidRDefault="1F28A724" w14:paraId="02295E43" w14:textId="1256A4B1">
            <w:pPr>
              <w:pStyle w:val="xmsolistparagraph"/>
              <w:suppressLineNumbers w:val="0"/>
              <w:shd w:val="clear" w:color="auto" w:fill="FFFFFF" w:themeFill="background1"/>
              <w:bidi w:val="0"/>
              <w:spacing w:before="0" w:beforeAutospacing="off" w:after="0" w:afterAutospacing="off" w:line="240" w:lineRule="auto"/>
              <w:ind w:left="0" w:right="0"/>
              <w:jc w:val="both"/>
              <w:rPr>
                <w:rFonts w:ascii="Cambria" w:hAnsi="Cambria" w:cs="Calibri"/>
                <w:color w:val="201F1E"/>
              </w:rPr>
            </w:pPr>
            <w:hyperlink r:id="R076240e8609a48d1">
              <w:r w:rsidRPr="4CD1CB5E" w:rsidR="6019263A">
                <w:rPr>
                  <w:rStyle w:val="Hyperlink"/>
                  <w:rFonts w:ascii="Cambria" w:hAnsi="Cambria" w:cs="Calibri"/>
                </w:rPr>
                <w:t>Chapter 5</w:t>
              </w:r>
            </w:hyperlink>
            <w:r w:rsidRPr="4CD1CB5E" w:rsidR="6019263A">
              <w:rPr>
                <w:rFonts w:ascii="Cambria" w:hAnsi="Cambria" w:cs="Calibri"/>
                <w:color w:val="201F1E"/>
              </w:rPr>
              <w:t xml:space="preserve"> of Cox and Hutton’s ‘Making Every RE Lesson Count’ book focuses on feedback in the subject area. It lays out why it is important but also offers some </w:t>
            </w:r>
            <w:r w:rsidRPr="4CD1CB5E" w:rsidR="152B4663">
              <w:rPr>
                <w:rFonts w:ascii="Cambria" w:hAnsi="Cambria" w:cs="Calibri"/>
                <w:color w:val="201F1E"/>
              </w:rPr>
              <w:t>practical</w:t>
            </w:r>
            <w:r w:rsidRPr="4CD1CB5E" w:rsidR="6019263A">
              <w:rPr>
                <w:rFonts w:ascii="Cambria" w:hAnsi="Cambria" w:cs="Calibri"/>
                <w:color w:val="201F1E"/>
              </w:rPr>
              <w:t xml:space="preserve"> strategies </w:t>
            </w:r>
            <w:r w:rsidRPr="4CD1CB5E" w:rsidR="5DA72887">
              <w:rPr>
                <w:rFonts w:ascii="Cambria" w:hAnsi="Cambria" w:cs="Calibri"/>
                <w:color w:val="201F1E"/>
              </w:rPr>
              <w:t xml:space="preserve">to support </w:t>
            </w:r>
            <w:r w:rsidRPr="4CD1CB5E" w:rsidR="234CAC8C">
              <w:rPr>
                <w:rFonts w:ascii="Cambria" w:hAnsi="Cambria" w:cs="Calibri"/>
                <w:color w:val="201F1E"/>
              </w:rPr>
              <w:t xml:space="preserve">effective classroom feedback. Additionally, </w:t>
            </w:r>
            <w:r w:rsidRPr="4CD1CB5E" w:rsidR="517E9B99">
              <w:rPr>
                <w:rFonts w:ascii="Cambria" w:hAnsi="Cambria" w:cs="Calibri"/>
                <w:color w:val="201F1E"/>
              </w:rPr>
              <w:t xml:space="preserve">Laura Harris, NATRE’s Southwest Regional Ambassador, discusses </w:t>
            </w:r>
            <w:hyperlink r:id="R246ccb27ea8b4a9c">
              <w:r w:rsidRPr="4CD1CB5E" w:rsidR="517E9B99">
                <w:rPr>
                  <w:rStyle w:val="Hyperlink"/>
                  <w:rFonts w:ascii="Cambria" w:hAnsi="Cambria" w:cs="Calibri"/>
                </w:rPr>
                <w:t>‘How I… use formative assessment to inform progress and planning</w:t>
              </w:r>
              <w:r w:rsidRPr="4CD1CB5E" w:rsidR="5760FFDB">
                <w:rPr>
                  <w:rStyle w:val="Hyperlink"/>
                  <w:rFonts w:ascii="Cambria" w:hAnsi="Cambria" w:cs="Calibri"/>
                </w:rPr>
                <w:t>’</w:t>
              </w:r>
            </w:hyperlink>
            <w:r w:rsidRPr="4CD1CB5E" w:rsidR="5760FFDB">
              <w:rPr>
                <w:rFonts w:ascii="Cambria" w:hAnsi="Cambria" w:cs="Calibri"/>
                <w:color w:val="201F1E"/>
              </w:rPr>
              <w:t>.</w:t>
            </w:r>
            <w:r w:rsidRPr="4CD1CB5E" w:rsidR="5760FFDB">
              <w:rPr>
                <w:rFonts w:ascii="Cambria" w:hAnsi="Cambria" w:cs="Calibri"/>
                <w:color w:val="201F1E"/>
              </w:rPr>
              <w:t xml:space="preserve"> Despite being primary focused her thoughts are certainly </w:t>
            </w:r>
            <w:r w:rsidRPr="4CD1CB5E" w:rsidR="5760FFDB">
              <w:rPr>
                <w:rFonts w:ascii="Cambria" w:hAnsi="Cambria" w:cs="Calibri"/>
                <w:color w:val="201F1E"/>
              </w:rPr>
              <w:t>relevant</w:t>
            </w:r>
            <w:r w:rsidRPr="4CD1CB5E" w:rsidR="5760FFDB">
              <w:rPr>
                <w:rFonts w:ascii="Cambria" w:hAnsi="Cambria" w:cs="Calibri"/>
                <w:color w:val="201F1E"/>
              </w:rPr>
              <w:t xml:space="preserve"> for KS3.</w:t>
            </w:r>
          </w:p>
        </w:tc>
      </w:tr>
      <w:tr w:rsidRPr="00F07217" w:rsidR="00403E3F" w:rsidTr="4CD1CB5E"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4CD1CB5E"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4CD1CB5E" w:rsidRDefault="3A5596E8" w14:paraId="540DA44B" w14:textId="2DBFD130">
            <w:pPr>
              <w:rPr>
                <w:rFonts w:ascii="Cambria" w:hAnsi="Cambria" w:eastAsia="Cambria" w:cs="Cambria"/>
              </w:rPr>
            </w:pPr>
            <w:r w:rsidRPr="6C53551C" w:rsidR="3A5596E8">
              <w:rPr>
                <w:rFonts w:ascii="Cambria" w:hAnsi="Cambria" w:eastAsia="Cambria" w:cs="Cambria"/>
                <w:b w:val="1"/>
                <w:bCs w:val="1"/>
                <w:sz w:val="20"/>
                <w:szCs w:val="20"/>
                <w:shd w:val="clear" w:color="auto" w:fill="FFFFFF"/>
              </w:rPr>
              <w:t>1.</w:t>
            </w:r>
            <w:r w:rsidRPr="6C53551C" w:rsidR="41F9C91E">
              <w:rPr>
                <w:rFonts w:ascii="Cambria" w:hAnsi="Cambria" w:eastAsia="Cambria" w:cs="Cambria"/>
              </w:rPr>
              <w:t xml:space="preserve"> </w:t>
            </w:r>
            <w:r w:rsidRPr="6C53551C" w:rsidR="0F7F6C12">
              <w:rPr>
                <w:rFonts w:ascii="Cambria" w:hAnsi="Cambria" w:eastAsia="Cambria" w:cs="Cambria"/>
              </w:rPr>
              <w:t xml:space="preserve">A clear</w:t>
            </w:r>
            <w:r w:rsidRPr="4CD1CB5E" w:rsidR="0F7F6C12">
              <w:rPr>
                <w:rFonts w:ascii="Cambria" w:hAnsi="Cambria" w:eastAsia="Cambria" w:cs="Cambria"/>
              </w:rPr>
              <w:t xml:space="preserve"> understanding of the lesson </w:t>
            </w:r>
            <w:r w:rsidRPr="4CD1CB5E" w:rsidR="0F7F6C12">
              <w:rPr>
                <w:rFonts w:ascii="Cambria" w:hAnsi="Cambria" w:eastAsia="Cambria" w:cs="Cambria"/>
              </w:rPr>
              <w:t>objectives</w:t>
            </w:r>
            <w:r w:rsidRPr="4CD1CB5E" w:rsidR="0F7F6C12">
              <w:rPr>
                <w:rFonts w:ascii="Cambria" w:hAnsi="Cambria" w:eastAsia="Cambria" w:cs="Cambria"/>
              </w:rPr>
              <w:t xml:space="preserve"> and how they align with the broader curriculum goals. This involves </w:t>
            </w:r>
            <w:r w:rsidRPr="4CD1CB5E" w:rsidR="0F7F6C12">
              <w:rPr>
                <w:rFonts w:ascii="Cambria" w:hAnsi="Cambria" w:eastAsia="Cambria" w:cs="Cambria"/>
              </w:rPr>
              <w:t>comprehending</w:t>
            </w:r>
            <w:r w:rsidRPr="4CD1CB5E" w:rsidR="0F7F6C12">
              <w:rPr>
                <w:rFonts w:ascii="Cambria" w:hAnsi="Cambria" w:eastAsia="Cambria" w:cs="Cambria"/>
              </w:rPr>
              <w:t xml:space="preserve"> the specific knowledge, skills, and attitudes that the lesson aims to develop in students and recognising how these </w:t>
            </w:r>
            <w:r w:rsidRPr="4CD1CB5E" w:rsidR="0F7F6C12">
              <w:rPr>
                <w:rFonts w:ascii="Cambria" w:hAnsi="Cambria" w:eastAsia="Cambria" w:cs="Cambria"/>
              </w:rPr>
              <w:t>objectives</w:t>
            </w:r>
            <w:r w:rsidRPr="4CD1CB5E" w:rsidR="0F7F6C12">
              <w:rPr>
                <w:rFonts w:ascii="Cambria" w:hAnsi="Cambria" w:eastAsia="Cambria" w:cs="Cambria"/>
              </w:rPr>
              <w:t xml:space="preserve"> fit within the context of RE.</w:t>
            </w:r>
          </w:p>
          <w:p w:rsidRPr="00523D39" w:rsidR="00CB44DE" w:rsidP="4CD1CB5E" w:rsidRDefault="3A5596E8" w14:paraId="4B590058" w14:textId="65A95BCA">
            <w:pPr>
              <w:pStyle w:val="Normal"/>
              <w:rPr>
                <w:rFonts w:ascii="Cambria" w:hAnsi="Cambria" w:eastAsia="Cambria" w:cs="Cambria"/>
              </w:rPr>
            </w:pPr>
            <w:r w:rsidRPr="4CD1CB5E" w:rsidR="0F7F6C12">
              <w:rPr>
                <w:rFonts w:ascii="Cambria" w:hAnsi="Cambria" w:eastAsia="Cambria" w:cs="Cambria"/>
              </w:rPr>
              <w:t xml:space="preserve">2. How to design formative assessments that are </w:t>
            </w:r>
            <w:r w:rsidRPr="4CD1CB5E" w:rsidR="0F7F6C12">
              <w:rPr>
                <w:rFonts w:ascii="Cambria" w:hAnsi="Cambria" w:eastAsia="Cambria" w:cs="Cambria"/>
              </w:rPr>
              <w:t>directly linked</w:t>
            </w:r>
            <w:r w:rsidRPr="4CD1CB5E" w:rsidR="0F7F6C12">
              <w:rPr>
                <w:rFonts w:ascii="Cambria" w:hAnsi="Cambria" w:eastAsia="Cambria" w:cs="Cambria"/>
              </w:rPr>
              <w:t xml:space="preserve"> to the lesson objectives.</w:t>
            </w:r>
          </w:p>
          <w:p w:rsidRPr="00523D39" w:rsidR="00CB44DE" w:rsidP="4CD1CB5E" w:rsidRDefault="3A5596E8" w14:paraId="06990D67" w14:textId="563387C0">
            <w:pPr>
              <w:pStyle w:val="Normal"/>
              <w:rPr>
                <w:rFonts w:ascii="Cambria" w:hAnsi="Cambria" w:eastAsia="Cambria" w:cs="Cambria"/>
              </w:rPr>
            </w:pPr>
            <w:r w:rsidRPr="4CD1CB5E" w:rsidR="0F7F6C12">
              <w:rPr>
                <w:rFonts w:ascii="Cambria" w:hAnsi="Cambria" w:eastAsia="Cambria" w:cs="Cambria"/>
              </w:rPr>
              <w:t>3. A range of diagnostic methods to assess students' understanding and misconceptions</w:t>
            </w:r>
          </w:p>
          <w:p w:rsidRPr="00523D39" w:rsidR="00CB44DE" w:rsidP="00542102" w:rsidRDefault="00CB44DE" w14:paraId="4E488AE5" w14:textId="7D13322A">
            <w:pPr>
              <w:rPr>
                <w:rFonts w:ascii="Cambria" w:hAnsi="Cambria"/>
                <w:b/>
                <w:bCs/>
                <w:sz w:val="20"/>
                <w:szCs w:val="20"/>
                <w:shd w:val="clear" w:color="auto" w:fill="FFFFFF"/>
              </w:rPr>
            </w:pP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4CD1CB5E"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4CD1CB5E"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6C53551C" w:rsidRDefault="3239FECD" w14:paraId="3437E904" w14:textId="01E053FC">
            <w:pPr>
              <w:rPr>
                <w:rFonts w:ascii="Cambria" w:hAnsi="Cambria"/>
              </w:rPr>
            </w:pPr>
            <w:r w:rsidRPr="4CD1CB5E" w:rsidR="3A5596E8">
              <w:rPr>
                <w:rFonts w:ascii="Cambria" w:hAnsi="Cambria"/>
              </w:rPr>
              <w:t>1.</w:t>
            </w:r>
            <w:r w:rsidRPr="4CD1CB5E" w:rsidR="41F9C91E">
              <w:rPr>
                <w:rFonts w:ascii="Cambria" w:hAnsi="Cambria"/>
              </w:rPr>
              <w:t xml:space="preserve"> </w:t>
            </w:r>
            <w:r w:rsidRPr="4CD1CB5E" w:rsidR="5181108A">
              <w:rPr>
                <w:rFonts w:ascii="Cambria" w:hAnsi="Cambria"/>
              </w:rPr>
              <w:t xml:space="preserve">Plan formative assessment tasks linked to lesson </w:t>
            </w:r>
            <w:r w:rsidRPr="4CD1CB5E" w:rsidR="5181108A">
              <w:rPr>
                <w:rFonts w:ascii="Cambria" w:hAnsi="Cambria"/>
              </w:rPr>
              <w:t>objectives</w:t>
            </w:r>
            <w:r w:rsidRPr="4CD1CB5E" w:rsidR="5181108A">
              <w:rPr>
                <w:rFonts w:ascii="Cambria" w:hAnsi="Cambria"/>
              </w:rPr>
              <w:t xml:space="preserve"> and think ahead about what would </w:t>
            </w:r>
            <w:r w:rsidRPr="4CD1CB5E" w:rsidR="5181108A">
              <w:rPr>
                <w:rFonts w:ascii="Cambria" w:hAnsi="Cambria"/>
              </w:rPr>
              <w:t>indicate</w:t>
            </w:r>
            <w:r w:rsidRPr="4CD1CB5E" w:rsidR="5181108A">
              <w:rPr>
                <w:rFonts w:ascii="Cambria" w:hAnsi="Cambria"/>
              </w:rPr>
              <w:t xml:space="preserve"> understanding (e.g., by using hinge questions to pinpoint knowledge gaps.)</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4CD1CB5E"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4CD1CB5E" w:rsidRDefault="2E467C1C" w14:paraId="0A2D2F9E" w14:textId="437305A8">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4CD1CB5E" w:rsidR="2E467C1C">
              <w:rPr>
                <w:rFonts w:ascii="Cambria" w:hAnsi="Cambria"/>
                <w:b w:val="1"/>
                <w:bCs w:val="1"/>
              </w:rPr>
              <w:t>Q1:</w:t>
            </w:r>
            <w:r w:rsidRPr="4CD1CB5E" w:rsidR="000A42C7">
              <w:rPr>
                <w:rFonts w:ascii="Cambria" w:hAnsi="Cambria"/>
                <w:b w:val="1"/>
                <w:bCs w:val="1"/>
              </w:rPr>
              <w:t xml:space="preserve"> </w:t>
            </w:r>
            <w:r w:rsidRPr="4CD1CB5E" w:rsidR="05CFB71C">
              <w:rPr>
                <w:rFonts w:ascii="Cambria" w:hAnsi="Cambria"/>
                <w:b w:val="1"/>
                <w:bCs w:val="1"/>
              </w:rPr>
              <w:t>Discuss and evaluate the variety and effectiveness of different feedback methods used in your educational setting. How do these methods impact student learning and engagement?</w:t>
            </w:r>
          </w:p>
          <w:p w:rsidRPr="00523D39" w:rsidR="00B5000E" w:rsidP="4CD1CB5E" w:rsidRDefault="2E467C1C" w14:paraId="2FCBDA67" w14:textId="32EBF3FC">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4CD1CB5E" w:rsidR="2E467C1C">
              <w:rPr>
                <w:rFonts w:ascii="Cambria" w:hAnsi="Cambria"/>
                <w:b w:val="1"/>
                <w:bCs w:val="1"/>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Pr="00523D39" w:rsidR="00B5000E" w:rsidP="4CD1CB5E" w:rsidRDefault="2E467C1C" w14:paraId="38C29348" w14:textId="23D25B79">
            <w:pPr>
              <w:pStyle w:val="Normal"/>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4CD1CB5E" w:rsidR="2E467C1C">
              <w:rPr>
                <w:rFonts w:ascii="Cambria" w:hAnsi="Cambria"/>
                <w:b w:val="1"/>
                <w:bCs w:val="1"/>
              </w:rPr>
              <w:t>Q2:</w:t>
            </w:r>
            <w:r w:rsidRPr="4CD1CB5E" w:rsidR="41F9C91E">
              <w:rPr>
                <w:rFonts w:ascii="Cambria" w:hAnsi="Cambria"/>
                <w:b w:val="1"/>
                <w:bCs w:val="1"/>
              </w:rPr>
              <w:t xml:space="preserve"> </w:t>
            </w:r>
            <w:r w:rsidRPr="4CD1CB5E" w:rsidR="2D00CAD4">
              <w:rPr>
                <w:rFonts w:ascii="Cambria" w:hAnsi="Cambria"/>
                <w:b w:val="1"/>
                <w:bCs w:val="1"/>
              </w:rPr>
              <w:t>Explore and reflect on how assessment is implemented in your setting.</w:t>
            </w:r>
          </w:p>
          <w:p w:rsidRPr="00523D39" w:rsidR="00B5000E" w:rsidP="4CD1CB5E" w:rsidRDefault="2E467C1C" w14:paraId="22BB80EE" w14:textId="53FAF1A2">
            <w:pPr>
              <w:pStyle w:val="Normal"/>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4CD1CB5E" w:rsidR="2E467C1C">
              <w:rPr>
                <w:rFonts w:ascii="Cambria" w:hAnsi="Cambria"/>
                <w:b w:val="1"/>
                <w:bCs w:val="1"/>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4CD1CB5E"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4CD1CB5E"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4CD1CB5E"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4CD1CB5E"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4CD1CB5E"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4CD1CB5E"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4CD1CB5E"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CD1CB5E"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CD1CB5E"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4CD1CB5E"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CC0A1E"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CC0A1E"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CC0A1E"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45B" w:rsidP="00BB0205" w:rsidRDefault="00D0645B" w14:paraId="44FD6FC7" w14:textId="77777777">
      <w:pPr>
        <w:spacing w:after="0" w:line="240" w:lineRule="auto"/>
      </w:pPr>
      <w:r>
        <w:separator/>
      </w:r>
    </w:p>
  </w:endnote>
  <w:endnote w:type="continuationSeparator" w:id="0">
    <w:p w:rsidR="00D0645B" w:rsidP="00BB0205" w:rsidRDefault="00D0645B" w14:paraId="6329A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45B" w:rsidP="00BB0205" w:rsidRDefault="00D0645B" w14:paraId="4F0B259B" w14:textId="77777777">
      <w:pPr>
        <w:spacing w:after="0" w:line="240" w:lineRule="auto"/>
      </w:pPr>
      <w:r>
        <w:separator/>
      </w:r>
    </w:p>
  </w:footnote>
  <w:footnote w:type="continuationSeparator" w:id="0">
    <w:p w:rsidR="00D0645B" w:rsidP="00BB0205" w:rsidRDefault="00D0645B" w14:paraId="38AF63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2C7"/>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0A1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3AF950D"/>
    <w:rsid w:val="05CFB71C"/>
    <w:rsid w:val="06E5EB76"/>
    <w:rsid w:val="090FEAB4"/>
    <w:rsid w:val="0BB00E4D"/>
    <w:rsid w:val="0DE35BD7"/>
    <w:rsid w:val="0EF72479"/>
    <w:rsid w:val="0F7F6C12"/>
    <w:rsid w:val="10BC13FF"/>
    <w:rsid w:val="152B4663"/>
    <w:rsid w:val="15969C45"/>
    <w:rsid w:val="166F71F5"/>
    <w:rsid w:val="16E1CB0D"/>
    <w:rsid w:val="1884DE62"/>
    <w:rsid w:val="1A74EAD6"/>
    <w:rsid w:val="1F28A724"/>
    <w:rsid w:val="1FB2193F"/>
    <w:rsid w:val="206FEA98"/>
    <w:rsid w:val="21413C5C"/>
    <w:rsid w:val="22DBBB9C"/>
    <w:rsid w:val="234CAC8C"/>
    <w:rsid w:val="2439EA69"/>
    <w:rsid w:val="25C14021"/>
    <w:rsid w:val="2650FD3F"/>
    <w:rsid w:val="29A15B16"/>
    <w:rsid w:val="2B0E61AC"/>
    <w:rsid w:val="2D00CAD4"/>
    <w:rsid w:val="2DAF0295"/>
    <w:rsid w:val="2E467C1C"/>
    <w:rsid w:val="2FE4DE46"/>
    <w:rsid w:val="30B2B588"/>
    <w:rsid w:val="3239FECD"/>
    <w:rsid w:val="33459E2D"/>
    <w:rsid w:val="33AE2BE9"/>
    <w:rsid w:val="369519CA"/>
    <w:rsid w:val="3A5596E8"/>
    <w:rsid w:val="40E89DE5"/>
    <w:rsid w:val="41F9C91E"/>
    <w:rsid w:val="432B1AEE"/>
    <w:rsid w:val="452D29F7"/>
    <w:rsid w:val="45D22F37"/>
    <w:rsid w:val="4662BBB0"/>
    <w:rsid w:val="4720F829"/>
    <w:rsid w:val="4B3EED4F"/>
    <w:rsid w:val="4CD1CB5E"/>
    <w:rsid w:val="4CE226CD"/>
    <w:rsid w:val="4F6ADED4"/>
    <w:rsid w:val="4F6C4FDA"/>
    <w:rsid w:val="5106AF35"/>
    <w:rsid w:val="517E9B99"/>
    <w:rsid w:val="5181108A"/>
    <w:rsid w:val="559F2BE4"/>
    <w:rsid w:val="5760FFDB"/>
    <w:rsid w:val="57EAF739"/>
    <w:rsid w:val="5A36C1F8"/>
    <w:rsid w:val="5ABA93A9"/>
    <w:rsid w:val="5AC889DD"/>
    <w:rsid w:val="5BBCC491"/>
    <w:rsid w:val="5DA72887"/>
    <w:rsid w:val="5DB892F7"/>
    <w:rsid w:val="6019263A"/>
    <w:rsid w:val="627CABE2"/>
    <w:rsid w:val="634E5A21"/>
    <w:rsid w:val="69364519"/>
    <w:rsid w:val="6B9E4FDB"/>
    <w:rsid w:val="6C53551C"/>
    <w:rsid w:val="751BA3A1"/>
    <w:rsid w:val="77560902"/>
    <w:rsid w:val="78C9A13E"/>
    <w:rsid w:val="7C18997B"/>
    <w:rsid w:val="7D1D3D18"/>
    <w:rsid w:val="7D3D4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hyperlink" Target="https://doi.org/10.3102/003465430298487" TargetMode="External" Id="Re4324d383b7e402d" /><Relationship Type="http://schemas.openxmlformats.org/officeDocument/2006/relationships/hyperlink" Target="https://drive.google.com/file/d/1CGMxRHhrrUEW4EWptRsB1y9C0sRmW9bk/view?usp=sharing" TargetMode="External" Id="R076240e8609a48d1" /><Relationship Type="http://schemas.openxmlformats.org/officeDocument/2006/relationships/hyperlink" Target="https://www.reonline.org.uk/2020/06/09/how-i-use-formative-assessment-to-inform-progress-and-planning-in-primary-re-laura-harris/" TargetMode="External" Id="R246ccb27ea8b4a9c" /><Relationship Type="http://schemas.openxmlformats.org/officeDocument/2006/relationships/glossaryDocument" Target="glossary/document.xml" Id="R5d50f923f0324997"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db4d43-2217-4d79-9498-e7938a0dfcbb}"/>
      </w:docPartPr>
      <w:docPartBody>
        <w:p w14:paraId="5C92FC5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Heather Marshall</lastModifiedBy>
  <revision>4</revision>
  <lastPrinted>2023-05-18T14:08:00.0000000Z</lastPrinted>
  <dcterms:created xsi:type="dcterms:W3CDTF">2023-11-29T10:20:00.0000000Z</dcterms:created>
  <dcterms:modified xsi:type="dcterms:W3CDTF">2023-11-29T10:36:45.5592338Z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