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A19CF" w:rsidP="00FA19CF" w:rsidRDefault="00FA19CF" w14:paraId="71396508" w14:textId="66995F65">
      <w:pPr>
        <w:tabs>
          <w:tab w:val="right" w:pos="9072"/>
        </w:tabs>
        <w:ind w:right="-954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4ED8740" wp14:editId="476A68C2">
            <wp:extent cx="2352675" cy="6125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795" cy="61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9CF" w:rsidRDefault="00FA19CF" w14:paraId="2A75A30B" w14:textId="422861BD">
      <w:pPr>
        <w:tabs>
          <w:tab w:val="right" w:pos="9072"/>
        </w:tabs>
        <w:ind w:right="-954"/>
        <w:jc w:val="center"/>
        <w:rPr>
          <w:rFonts w:ascii="Arial" w:hAnsi="Arial" w:eastAsia="Arial" w:cs="Arial"/>
          <w:b/>
          <w:sz w:val="20"/>
          <w:szCs w:val="20"/>
        </w:rPr>
      </w:pPr>
    </w:p>
    <w:p w:rsidR="00E554A9" w:rsidP="00FA19CF" w:rsidRDefault="009162D8" w14:paraId="7DA5061F" w14:textId="7F08302A">
      <w:pPr>
        <w:tabs>
          <w:tab w:val="right" w:pos="9072"/>
        </w:tabs>
        <w:ind w:right="-954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Systematic Synthetic Phonics</w:t>
      </w:r>
      <w:r w:rsidR="00FA0C3C">
        <w:rPr>
          <w:rFonts w:ascii="Arial" w:hAnsi="Arial" w:eastAsia="Arial" w:cs="Arial"/>
          <w:b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 xml:space="preserve">(SSP) </w:t>
      </w:r>
      <w:r w:rsidR="00FA0C3C">
        <w:rPr>
          <w:rFonts w:ascii="Arial" w:hAnsi="Arial" w:eastAsia="Arial" w:cs="Arial"/>
          <w:b/>
          <w:sz w:val="20"/>
          <w:szCs w:val="20"/>
        </w:rPr>
        <w:t>Observation Form</w:t>
      </w:r>
    </w:p>
    <w:p w:rsidR="00E554A9" w:rsidRDefault="00E554A9" w14:paraId="3EE8C155" w14:textId="77777777">
      <w:pPr>
        <w:tabs>
          <w:tab w:val="right" w:pos="9072"/>
        </w:tabs>
        <w:ind w:right="-954"/>
        <w:jc w:val="center"/>
        <w:rPr>
          <w:rFonts w:ascii="Arial" w:hAnsi="Arial" w:eastAsia="Arial" w:cs="Arial"/>
          <w:b/>
          <w:sz w:val="18"/>
          <w:szCs w:val="18"/>
        </w:rPr>
      </w:pPr>
    </w:p>
    <w:tbl>
      <w:tblPr>
        <w:tblStyle w:val="a"/>
        <w:tblW w:w="11052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17"/>
        <w:gridCol w:w="1706"/>
        <w:gridCol w:w="1706"/>
        <w:gridCol w:w="2523"/>
      </w:tblGrid>
      <w:tr w:rsidR="00DD75C2" w:rsidTr="38F60211" w14:paraId="78FD36A2" w14:textId="77777777">
        <w:tc>
          <w:tcPr>
            <w:tcW w:w="5117" w:type="dxa"/>
            <w:tcMar/>
            <w:vAlign w:val="center"/>
          </w:tcPr>
          <w:p w:rsidR="00DD75C2" w:rsidRDefault="00DD75C2" w14:paraId="16135152" w14:textId="77777777">
            <w:pPr>
              <w:tabs>
                <w:tab w:val="right" w:pos="9072"/>
              </w:tabs>
              <w:ind w:right="-95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Student: </w:t>
            </w:r>
          </w:p>
        </w:tc>
        <w:tc>
          <w:tcPr>
            <w:tcW w:w="1706" w:type="dxa"/>
            <w:tcMar/>
            <w:vAlign w:val="center"/>
          </w:tcPr>
          <w:p w:rsidR="00DD75C2" w:rsidRDefault="00DD75C2" w14:paraId="2A9B8A1A" w14:textId="34B48E2C">
            <w:pPr>
              <w:tabs>
                <w:tab w:val="right" w:pos="9072"/>
              </w:tabs>
              <w:ind w:right="-95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UG FT: I D C</w:t>
            </w:r>
          </w:p>
        </w:tc>
        <w:tc>
          <w:tcPr>
            <w:tcW w:w="1706" w:type="dxa"/>
            <w:tcMar/>
            <w:vAlign w:val="center"/>
          </w:tcPr>
          <w:p w:rsidR="00DD75C2" w:rsidRDefault="00DD75C2" w14:paraId="2C0DE1BD" w14:textId="1C669699">
            <w:pPr>
              <w:tabs>
                <w:tab w:val="right" w:pos="9072"/>
              </w:tabs>
              <w:ind w:right="-95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UG PT: I D C</w:t>
            </w:r>
          </w:p>
        </w:tc>
        <w:tc>
          <w:tcPr>
            <w:tcW w:w="2523" w:type="dxa"/>
            <w:tcMar/>
            <w:vAlign w:val="center"/>
          </w:tcPr>
          <w:p w:rsidR="00DD75C2" w:rsidRDefault="00DD75C2" w14:paraId="024DAD47" w14:textId="2B7BCDAF">
            <w:pPr>
              <w:tabs>
                <w:tab w:val="right" w:pos="9072"/>
              </w:tabs>
              <w:ind w:right="-95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PG: I D C</w:t>
            </w:r>
          </w:p>
        </w:tc>
      </w:tr>
      <w:tr w:rsidR="00DD75C2" w:rsidTr="38F60211" w14:paraId="5A6CF8D4" w14:textId="77777777">
        <w:tc>
          <w:tcPr>
            <w:tcW w:w="5117" w:type="dxa"/>
            <w:tcMar/>
            <w:vAlign w:val="center"/>
          </w:tcPr>
          <w:p w:rsidR="00DD75C2" w:rsidRDefault="00DD75C2" w14:paraId="7747ABF9" w14:textId="2BF64C35">
            <w:pPr>
              <w:tabs>
                <w:tab w:val="right" w:pos="9072"/>
              </w:tabs>
              <w:ind w:right="-954"/>
              <w:rPr>
                <w:rFonts w:ascii="Arial" w:hAnsi="Arial" w:eastAsia="Arial" w:cs="Arial"/>
                <w:sz w:val="18"/>
                <w:szCs w:val="18"/>
              </w:rPr>
            </w:pPr>
            <w:r w:rsidRPr="38F60211" w:rsidR="06B5428A">
              <w:rPr>
                <w:rFonts w:ascii="Arial" w:hAnsi="Arial" w:eastAsia="Arial" w:cs="Arial"/>
                <w:sz w:val="18"/>
                <w:szCs w:val="18"/>
              </w:rPr>
              <w:t>Year group:</w:t>
            </w:r>
            <w:r w:rsidRPr="38F60211" w:rsidR="18382C7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8F60211" w:rsidR="29C5CBC4">
              <w:rPr>
                <w:rFonts w:ascii="Arial" w:hAnsi="Arial" w:eastAsia="Arial" w:cs="Arial"/>
                <w:sz w:val="18"/>
                <w:szCs w:val="18"/>
              </w:rPr>
              <w:t>Nursery</w:t>
            </w:r>
            <w:r w:rsidRPr="38F60211" w:rsidR="00E572C9">
              <w:rPr>
                <w:rFonts w:ascii="Arial" w:hAnsi="Arial" w:eastAsia="Arial" w:cs="Arial"/>
                <w:sz w:val="18"/>
                <w:szCs w:val="18"/>
              </w:rPr>
              <w:t>/</w:t>
            </w:r>
            <w:r w:rsidRPr="38F60211" w:rsidR="18382C74">
              <w:rPr>
                <w:rFonts w:ascii="Arial" w:hAnsi="Arial" w:eastAsia="Arial" w:cs="Arial"/>
                <w:sz w:val="18"/>
                <w:szCs w:val="18"/>
              </w:rPr>
              <w:t>Rec /1/2/3</w:t>
            </w:r>
          </w:p>
        </w:tc>
        <w:tc>
          <w:tcPr>
            <w:tcW w:w="5935" w:type="dxa"/>
            <w:gridSpan w:val="3"/>
            <w:tcMar/>
            <w:vAlign w:val="center"/>
          </w:tcPr>
          <w:p w:rsidR="00DD75C2" w:rsidRDefault="00DD75C2" w14:paraId="217D2E7B" w14:textId="3C31404F">
            <w:pPr>
              <w:tabs>
                <w:tab w:val="right" w:pos="9072"/>
              </w:tabs>
              <w:ind w:right="-95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Number of children:</w:t>
            </w:r>
          </w:p>
        </w:tc>
      </w:tr>
      <w:tr w:rsidRPr="00F008F8" w:rsidR="00DD75C2" w:rsidTr="38F60211" w14:paraId="43BAA727" w14:textId="77777777">
        <w:tc>
          <w:tcPr>
            <w:tcW w:w="11052" w:type="dxa"/>
            <w:gridSpan w:val="4"/>
            <w:tcMar/>
            <w:vAlign w:val="center"/>
          </w:tcPr>
          <w:p w:rsidRPr="00F008F8" w:rsidR="00DD75C2" w:rsidRDefault="00DD75C2" w14:paraId="4943A917" w14:textId="019E7C41">
            <w:pPr>
              <w:tabs>
                <w:tab w:val="right" w:pos="9072"/>
              </w:tabs>
              <w:ind w:right="-954"/>
              <w:rPr>
                <w:rFonts w:ascii="Arial" w:hAnsi="Arial" w:eastAsia="Arial" w:cs="Arial"/>
                <w:sz w:val="18"/>
                <w:szCs w:val="18"/>
              </w:rPr>
            </w:pPr>
            <w:r w:rsidRPr="00F008F8">
              <w:rPr>
                <w:rFonts w:ascii="Arial" w:hAnsi="Arial" w:eastAsia="Arial" w:cs="Arial"/>
                <w:sz w:val="18"/>
                <w:szCs w:val="18"/>
              </w:rPr>
              <w:t xml:space="preserve">Validated </w:t>
            </w:r>
            <w:r w:rsidRPr="00F008F8" w:rsidR="00914C88">
              <w:rPr>
                <w:rFonts w:ascii="Arial" w:hAnsi="Arial" w:eastAsia="Arial" w:cs="Arial"/>
                <w:sz w:val="18"/>
                <w:szCs w:val="18"/>
              </w:rPr>
              <w:t xml:space="preserve">SSP </w:t>
            </w:r>
            <w:r w:rsidRPr="00F008F8">
              <w:rPr>
                <w:rFonts w:ascii="Arial" w:hAnsi="Arial" w:eastAsia="Arial" w:cs="Arial"/>
                <w:sz w:val="18"/>
                <w:szCs w:val="18"/>
              </w:rPr>
              <w:t>Scheme:</w:t>
            </w:r>
          </w:p>
        </w:tc>
      </w:tr>
    </w:tbl>
    <w:p w:rsidRPr="00F008F8" w:rsidR="00E572C9" w:rsidRDefault="00E572C9" w14:paraId="3C05E6A5" w14:textId="77777777">
      <w:pPr>
        <w:tabs>
          <w:tab w:val="right" w:pos="9072"/>
        </w:tabs>
        <w:ind w:right="-954"/>
        <w:rPr>
          <w:rFonts w:ascii="Arial" w:hAnsi="Arial" w:eastAsia="Arial" w:cs="Arial"/>
          <w:sz w:val="18"/>
          <w:szCs w:val="18"/>
        </w:rPr>
      </w:pPr>
    </w:p>
    <w:tbl>
      <w:tblPr>
        <w:tblW w:w="11059" w:type="dxa"/>
        <w:tblInd w:w="-7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5745"/>
        <w:gridCol w:w="2740"/>
        <w:gridCol w:w="2574"/>
      </w:tblGrid>
      <w:tr w:rsidRPr="00F008F8" w:rsidR="00F008F8" w:rsidTr="38F60211" w14:paraId="555F7388" w14:textId="77777777">
        <w:trPr>
          <w:trHeight w:val="490"/>
        </w:trPr>
        <w:tc>
          <w:tcPr>
            <w:tcW w:w="11059" w:type="dxa"/>
            <w:gridSpan w:val="3"/>
            <w:shd w:val="clear" w:color="auto" w:fill="C6D9F1" w:themeFill="text2" w:themeFillTint="33"/>
            <w:tcMar/>
          </w:tcPr>
          <w:p w:rsidRPr="00F008F8" w:rsidR="00F008F8" w:rsidP="38F60211" w:rsidRDefault="00F008F8" w14:paraId="3E40C201" w14:textId="76C5ACF6">
            <w:pPr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  <w:r w:rsidRPr="38F60211" w:rsidR="00F008F8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Phonological awareness (EYFS)</w:t>
            </w:r>
            <w:r w:rsidRPr="38F60211" w:rsidR="1321A425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 xml:space="preserve"> - Expectation is that you would teach phonological; awareness in </w:t>
            </w:r>
            <w:r w:rsidRPr="38F60211" w:rsidR="1321A425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nursery</w:t>
            </w:r>
            <w:r w:rsidRPr="38F60211" w:rsidR="1321A425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 xml:space="preserve"> and SSP in Reception plus. </w:t>
            </w:r>
          </w:p>
        </w:tc>
      </w:tr>
      <w:tr w:rsidRPr="00F008F8" w:rsidR="00E572C9" w:rsidTr="38F60211" w14:paraId="28906EAE" w14:textId="77777777">
        <w:trPr>
          <w:trHeight w:val="2094"/>
        </w:trPr>
        <w:tc>
          <w:tcPr>
            <w:tcW w:w="8485" w:type="dxa"/>
            <w:gridSpan w:val="2"/>
            <w:tcMar/>
          </w:tcPr>
          <w:p w:rsidRPr="00F008F8" w:rsidR="00E572C9" w:rsidP="00E572C9" w:rsidRDefault="00E572C9" w14:paraId="3B0DDC84" w14:textId="764B2882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Aspect of phase one are present for this lesson i.e., Environmental </w:t>
            </w:r>
            <w:proofErr w:type="gramStart"/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sounds</w:t>
            </w:r>
            <w:proofErr w:type="gramEnd"/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F008F8" w:rsidR="00E572C9" w:rsidP="38F60211" w:rsidRDefault="00E572C9" w14:paraId="07A8E8C6" w14:textId="736A4722">
            <w:pPr>
              <w:pStyle w:val="Normal"/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  <w:r w:rsidRPr="38F60211" w:rsidR="367A391C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I</w:t>
            </w:r>
            <w:r w:rsidRPr="38F60211" w:rsidR="00E572C9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nstrumental sounds / body sounds / rhythm and rhyme / alliteration / voice sounds /oral blending and segmenting.</w:t>
            </w:r>
          </w:p>
          <w:p w:rsidRPr="00F008F8" w:rsidR="00E572C9" w:rsidP="00E572C9" w:rsidRDefault="00E572C9" w14:paraId="75F695CB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72C9" w:rsidP="00E572C9" w:rsidRDefault="00E572C9" w14:paraId="0FDD90D9" w14:textId="6F81811E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The lesson links to wider learning i.e., other areas of learning in the EYFS.</w:t>
            </w:r>
          </w:p>
          <w:p w:rsidRPr="00F008F8" w:rsidR="00E572C9" w:rsidP="00E572C9" w:rsidRDefault="00E572C9" w14:paraId="420A914D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72C9" w:rsidP="00E572C9" w:rsidRDefault="00E572C9" w14:paraId="2A7500DB" w14:textId="6ECFBE9B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The activity links to EYFS principles.</w:t>
            </w:r>
          </w:p>
          <w:p w:rsidRPr="00F008F8" w:rsidR="00DD123B" w:rsidP="00E572C9" w:rsidRDefault="00DD123B" w14:paraId="7966F4F8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72C9" w:rsidP="00E572C9" w:rsidRDefault="00DD123B" w14:paraId="4D1FF311" w14:textId="214FD75F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Activities support communication and </w:t>
            </w:r>
            <w:proofErr w:type="gramStart"/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spoken</w:t>
            </w:r>
            <w:proofErr w:type="gramEnd"/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 language.</w:t>
            </w:r>
          </w:p>
          <w:p w:rsidRPr="00F008F8" w:rsidR="00E572C9" w:rsidP="00E572C9" w:rsidRDefault="00E572C9" w14:paraId="65AE88C7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72C9" w:rsidP="00E572C9" w:rsidRDefault="00E572C9" w14:paraId="73C23579" w14:textId="79F45729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Phonics is embedded in a language-rich environment.</w:t>
            </w:r>
          </w:p>
          <w:p w:rsidRPr="00F008F8" w:rsidR="00E572C9" w:rsidP="00E572C9" w:rsidRDefault="00E572C9" w14:paraId="4693A918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72C9" w:rsidP="00E572C9" w:rsidRDefault="00E572C9" w14:paraId="61D786FD" w14:textId="29CAD084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Indoor and outdoor space is used to support learning.</w:t>
            </w:r>
          </w:p>
          <w:p w:rsidRPr="00F008F8" w:rsidR="00E572C9" w:rsidP="00E572C9" w:rsidRDefault="00E572C9" w14:paraId="24627A71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72C9" w:rsidP="00E572C9" w:rsidRDefault="00E572C9" w14:paraId="540856B2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38F60211" w:rsidR="00E572C9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Children are encouraged to listen attentively.</w:t>
            </w:r>
          </w:p>
          <w:p w:rsidRPr="00F008F8" w:rsidR="00E572C9" w:rsidP="38F60211" w:rsidRDefault="00E572C9" w14:paraId="395E03DF" w14:textId="608E39D1">
            <w:pPr>
              <w:pStyle w:val="Normal"/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</w:p>
          <w:p w:rsidRPr="00F008F8" w:rsidR="00E572C9" w:rsidP="38F60211" w:rsidRDefault="00E572C9" w14:paraId="22273D83" w14:textId="05187AA8">
            <w:pPr>
              <w:pStyle w:val="Normal"/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  <w:r w:rsidRPr="38F60211" w:rsidR="3CE0CF80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Children's visual discrimination is engaged.</w:t>
            </w:r>
          </w:p>
          <w:p w:rsidR="38F60211" w:rsidP="38F60211" w:rsidRDefault="38F60211" w14:paraId="04060F87" w14:textId="756BC610">
            <w:pPr>
              <w:pStyle w:val="Normal"/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</w:p>
          <w:p w:rsidRPr="00F008F8" w:rsidR="00E572C9" w:rsidP="00E572C9" w:rsidRDefault="00E572C9" w14:paraId="7100156B" w14:textId="5EF2C2C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T</w:t>
            </w: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here are opportunities for oral blending and segmenting.</w:t>
            </w:r>
          </w:p>
          <w:p w:rsidRPr="00F008F8" w:rsidR="00E572C9" w:rsidP="00E572C9" w:rsidRDefault="00E572C9" w14:paraId="2B4297F1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72C9" w:rsidP="00E572C9" w:rsidRDefault="00E572C9" w14:paraId="34CBCBF2" w14:textId="4F72B6B1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Children have opportunities to explore sounds throughout the day.</w:t>
            </w:r>
          </w:p>
          <w:p w:rsidRPr="00F008F8" w:rsidR="00E572C9" w:rsidP="00E572C9" w:rsidRDefault="00E572C9" w14:paraId="1351344D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72C9" w:rsidP="00E572C9" w:rsidRDefault="00E572C9" w14:paraId="5900602E" w14:textId="4155DF84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Physical resources are used to support learning well.</w:t>
            </w:r>
          </w:p>
        </w:tc>
        <w:tc>
          <w:tcPr>
            <w:tcW w:w="2574" w:type="dxa"/>
            <w:tcMar/>
          </w:tcPr>
          <w:p w:rsidRPr="00F008F8" w:rsidR="00E572C9" w:rsidP="009162D8" w:rsidRDefault="00E572C9" w14:paraId="7E76A477" w14:textId="15BF1B62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EYFS Phonological awareness </w:t>
            </w:r>
          </w:p>
        </w:tc>
      </w:tr>
      <w:tr w:rsidR="00F008F8" w:rsidTr="38F60211" w14:paraId="0551102C" w14:textId="77777777">
        <w:trPr>
          <w:trHeight w:val="413"/>
        </w:trPr>
        <w:tc>
          <w:tcPr>
            <w:tcW w:w="11059" w:type="dxa"/>
            <w:gridSpan w:val="3"/>
            <w:shd w:val="clear" w:color="auto" w:fill="C6D9F1" w:themeFill="text2" w:themeFillTint="33"/>
            <w:tcMar/>
          </w:tcPr>
          <w:p w:rsidRPr="00F008F8" w:rsidR="00F008F8" w:rsidP="00F008F8" w:rsidRDefault="00F008F8" w14:paraId="37E9ED5A" w14:textId="77777777">
            <w:pPr>
              <w:rPr>
                <w:rFonts w:eastAsia="Arial" w:asciiTheme="minorHAnsi" w:hAnsiTheme="minorHAnsi" w:cstheme="minorHAnsi"/>
                <w:b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/>
                <w:sz w:val="20"/>
                <w:szCs w:val="20"/>
              </w:rPr>
              <w:t>Revisit and Review</w:t>
            </w:r>
          </w:p>
          <w:p w:rsidRPr="00F008F8" w:rsidR="00F008F8" w:rsidP="009162D8" w:rsidRDefault="00F008F8" w14:paraId="692681DE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</w:tc>
      </w:tr>
      <w:tr w:rsidR="00E554A9" w:rsidTr="38F60211" w14:paraId="5313134B" w14:textId="77777777">
        <w:trPr>
          <w:trHeight w:val="2094"/>
        </w:trPr>
        <w:tc>
          <w:tcPr>
            <w:tcW w:w="8485" w:type="dxa"/>
            <w:gridSpan w:val="2"/>
            <w:tcMar/>
          </w:tcPr>
          <w:p w:rsidRPr="00F008F8" w:rsidR="00E572C9" w:rsidP="00F008F8" w:rsidRDefault="00E572C9" w14:paraId="67E62767" w14:textId="77777777">
            <w:pPr>
              <w:rPr>
                <w:rFonts w:eastAsia="Arial" w:asciiTheme="minorHAnsi" w:hAnsiTheme="minorHAnsi" w:cstheme="minorHAnsi"/>
                <w:b/>
                <w:sz w:val="20"/>
                <w:szCs w:val="20"/>
              </w:rPr>
            </w:pPr>
          </w:p>
          <w:p w:rsidRPr="00F008F8" w:rsidR="00E572C9" w:rsidP="00F008F8" w:rsidRDefault="00E572C9" w14:paraId="71488B12" w14:textId="67110FFB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 xml:space="preserve">Trainee builds on prior learning, 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ensures that children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revise and consolidate earlier learning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 xml:space="preserve"> and 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enables sequential development of children’s component knowledge.</w:t>
            </w:r>
          </w:p>
          <w:p w:rsidRPr="00F008F8" w:rsidR="00E572C9" w:rsidP="00F008F8" w:rsidRDefault="00E572C9" w14:paraId="070C2BC0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</w:p>
          <w:p w:rsidR="00E572C9" w:rsidP="00F008F8" w:rsidRDefault="00E572C9" w14:paraId="211B1F3E" w14:textId="1CAC055E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 xml:space="preserve">The lesson intent </w:t>
            </w:r>
            <w:r w:rsid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 xml:space="preserve">is </w:t>
            </w:r>
            <w:proofErr w:type="gramStart"/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clear</w:t>
            </w:r>
            <w:proofErr w:type="gramEnd"/>
          </w:p>
          <w:p w:rsidRPr="00F008F8" w:rsidR="00F008F8" w:rsidP="00F008F8" w:rsidRDefault="00F008F8" w14:paraId="2E36FE1D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</w:p>
          <w:p w:rsidR="00F008F8" w:rsidP="00F008F8" w:rsidRDefault="00E572C9" w14:paraId="3FB4A335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Phonemes are articulated clearly and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correctly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enunciated</w:t>
            </w:r>
            <w:proofErr w:type="gramEnd"/>
          </w:p>
          <w:p w:rsidR="00F008F8" w:rsidP="00F008F8" w:rsidRDefault="00F008F8" w14:paraId="06C2BAB2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</w:p>
          <w:p w:rsidRPr="00F008F8" w:rsidR="00E572C9" w:rsidP="00F008F8" w:rsidRDefault="008A24CE" w14:paraId="3DF9691E" w14:textId="0FE607B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Phoneme grapheme correspondence; hearing, identifying, segmenting, and blending sounds; sight vocabulary, common exception words, high frequency words. fluency and comprehension</w:t>
            </w:r>
          </w:p>
          <w:p w:rsidRPr="00F008F8" w:rsidR="00E572C9" w:rsidP="00F008F8" w:rsidRDefault="00E572C9" w14:paraId="24428BB7" w14:textId="77777777">
            <w:pPr>
              <w:pStyle w:val="ListParagraph"/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54A9" w:rsidP="38F60211" w:rsidRDefault="00F008F8" w14:paraId="5595BEFB" w14:textId="4F2523C3">
            <w:pPr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  <w:r w:rsidRPr="38F60211" w:rsidR="00F008F8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Fo</w:t>
            </w:r>
            <w:r w:rsidRPr="38F60211" w:rsidR="008A24CE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rmative assessment strategies, monitoring and recording assessment.</w:t>
            </w:r>
          </w:p>
          <w:p w:rsidRPr="00F008F8" w:rsidR="00E554A9" w:rsidP="38F60211" w:rsidRDefault="00F008F8" w14:paraId="08B9B7BF" w14:textId="1080F16A">
            <w:pPr>
              <w:pStyle w:val="Normal"/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2574" w:type="dxa"/>
            <w:tcMar/>
          </w:tcPr>
          <w:p w:rsidRPr="00F008F8" w:rsidR="009162D8" w:rsidP="009162D8" w:rsidRDefault="009162D8" w14:paraId="16F86A4F" w14:textId="77047FA5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</w:tc>
      </w:tr>
      <w:tr w:rsidR="00F008F8" w:rsidTr="38F60211" w14:paraId="3F7A81B1" w14:textId="77777777">
        <w:trPr>
          <w:trHeight w:val="313"/>
        </w:trPr>
        <w:tc>
          <w:tcPr>
            <w:tcW w:w="11059" w:type="dxa"/>
            <w:gridSpan w:val="3"/>
            <w:shd w:val="clear" w:color="auto" w:fill="C6D9F1" w:themeFill="text2" w:themeFillTint="33"/>
            <w:tcMar/>
          </w:tcPr>
          <w:p w:rsidRPr="00F008F8" w:rsidR="00F008F8" w:rsidRDefault="00F008F8" w14:paraId="6A00E5BD" w14:textId="6700CBE5">
            <w:pPr>
              <w:rPr>
                <w:rFonts w:eastAsia="Arial" w:asciiTheme="minorHAnsi" w:hAnsiTheme="minorHAnsi" w:cstheme="minorHAnsi"/>
                <w:b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/>
                <w:bCs/>
                <w:sz w:val="20"/>
                <w:szCs w:val="20"/>
              </w:rPr>
              <w:t xml:space="preserve">Teach </w:t>
            </w:r>
          </w:p>
        </w:tc>
      </w:tr>
      <w:tr w:rsidR="00E554A9" w:rsidTr="38F60211" w14:paraId="486D241A" w14:textId="77777777">
        <w:trPr>
          <w:trHeight w:val="1617"/>
        </w:trPr>
        <w:tc>
          <w:tcPr>
            <w:tcW w:w="8485" w:type="dxa"/>
            <w:gridSpan w:val="2"/>
            <w:tcMar/>
          </w:tcPr>
          <w:p w:rsidRPr="00F008F8" w:rsidR="00E572C9" w:rsidP="38F60211" w:rsidRDefault="00E572C9" w14:paraId="488892F8" w14:textId="36DDF568">
            <w:pPr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  <w:r w:rsidRPr="38F60211" w:rsidR="00E572C9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New learning is clea</w:t>
            </w:r>
            <w:r w:rsidRPr="38F60211" w:rsidR="00F008F8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 xml:space="preserve">r </w:t>
            </w:r>
            <w:r w:rsidRPr="38F60211" w:rsidR="7B2029AF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and introduced</w:t>
            </w:r>
            <w:r w:rsidRPr="38F60211" w:rsidR="00F008F8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 xml:space="preserve"> in a sequence</w:t>
            </w:r>
            <w:r w:rsidRPr="38F60211" w:rsidR="00E572C9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.</w:t>
            </w:r>
          </w:p>
          <w:p w:rsidRPr="00F008F8" w:rsidR="00E572C9" w:rsidP="00E572C9" w:rsidRDefault="00E572C9" w14:paraId="3A7B0338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72C9" w:rsidP="00E572C9" w:rsidRDefault="00DD123B" w14:paraId="75D36C45" w14:textId="1A563880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Trainee </w:t>
            </w:r>
            <w:r w:rsidRPr="00F008F8" w:rsidR="00E572C9">
              <w:rPr>
                <w:rFonts w:eastAsia="Arial" w:asciiTheme="minorHAnsi" w:hAnsiTheme="minorHAnsi" w:cstheme="minorHAnsi"/>
                <w:sz w:val="20"/>
                <w:szCs w:val="20"/>
              </w:rPr>
              <w:t>models blending and</w:t>
            </w:r>
            <w:r w:rsidRPr="00F008F8" w:rsidR="00E572C9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 </w:t>
            </w:r>
            <w:r w:rsidRPr="00F008F8" w:rsidR="00E572C9">
              <w:rPr>
                <w:rFonts w:eastAsia="Arial" w:asciiTheme="minorHAnsi" w:hAnsiTheme="minorHAnsi" w:cstheme="minorHAnsi"/>
                <w:sz w:val="20"/>
                <w:szCs w:val="20"/>
              </w:rPr>
              <w:t>segmenting.</w:t>
            </w:r>
          </w:p>
          <w:p w:rsidRPr="00F008F8" w:rsidR="00E572C9" w:rsidP="00E572C9" w:rsidRDefault="00E572C9" w14:paraId="3662D2A5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72C9" w:rsidP="00E572C9" w:rsidRDefault="00E572C9" w14:paraId="0837D265" w14:textId="2B71240F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Learning is contextualised.</w:t>
            </w:r>
          </w:p>
          <w:p w:rsidRPr="00F008F8" w:rsidR="00DD123B" w:rsidP="00E572C9" w:rsidRDefault="00DD123B" w14:paraId="6AC1A0F9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8A24CE" w:rsidP="00E572C9" w:rsidRDefault="00E572C9" w14:paraId="0B92FDAD" w14:textId="6B54BAE2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All children are actively involved in speaking</w:t>
            </w:r>
            <w:r w:rsidRPr="00F008F8" w:rsidR="00DD123B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 </w:t>
            </w: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and </w:t>
            </w:r>
            <w:proofErr w:type="gramStart"/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listening</w:t>
            </w:r>
            <w:proofErr w:type="gramEnd"/>
          </w:p>
          <w:p w:rsidRPr="00F008F8" w:rsidR="008A24CE" w:rsidP="008A24CE" w:rsidRDefault="008A24CE" w14:paraId="211A9760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8A24CE" w:rsidP="008A24CE" w:rsidRDefault="008A24CE" w14:paraId="142DFE94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All children encouraged to participate and contribute.</w:t>
            </w:r>
          </w:p>
          <w:p w:rsidRPr="00F008F8" w:rsidR="008A24CE" w:rsidP="008A24CE" w:rsidRDefault="008A24CE" w14:paraId="438C348B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8A24CE" w:rsidP="008A24CE" w:rsidRDefault="008A24CE" w14:paraId="74C8803D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Modelling/reinforcing of blending/segmenting/reading skills.</w:t>
            </w:r>
          </w:p>
          <w:p w:rsidRPr="00F008F8" w:rsidR="008A24CE" w:rsidP="008A24CE" w:rsidRDefault="008A24CE" w14:paraId="4AEC8E1C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8A24CE" w:rsidP="008A24CE" w:rsidRDefault="008A24CE" w14:paraId="70149C04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lastRenderedPageBreak/>
              <w:t>Modelling fluent reading/enjoyment of reading.</w:t>
            </w:r>
          </w:p>
          <w:p w:rsidRPr="00F008F8" w:rsidR="008A24CE" w:rsidP="008A24CE" w:rsidRDefault="008A24CE" w14:paraId="61B2291B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54A9" w:rsidP="008A24CE" w:rsidRDefault="008A24CE" w14:paraId="61A6BDBA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Well-paced with effective use of lesson time</w:t>
            </w:r>
          </w:p>
          <w:p w:rsidRPr="00F008F8" w:rsidR="00DD123B" w:rsidP="008A24CE" w:rsidRDefault="00DD123B" w14:paraId="4CF96601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DD123B" w:rsidP="38F60211" w:rsidRDefault="00DD123B" w14:paraId="027AA0D3" w14:textId="507AC5D7">
            <w:pPr>
              <w:rPr>
                <w:rFonts w:ascii="Calibri" w:hAnsi="Calibri" w:eastAsia="Arial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Pr="38F60211" w:rsidR="00DD123B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 xml:space="preserve">Trainee </w:t>
            </w:r>
            <w:r w:rsidRPr="38F60211" w:rsidR="1179413A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adapts teaching</w:t>
            </w:r>
            <w:r w:rsidRPr="38F60211" w:rsidR="00DD123B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 xml:space="preserve"> for all learners</w:t>
            </w:r>
            <w:r w:rsidRPr="38F60211" w:rsidR="00DD123B">
              <w:rPr>
                <w:rFonts w:ascii="Calibri" w:hAnsi="Calibri" w:eastAsia="Arial" w:cs="Calibri" w:asciiTheme="minorAscii" w:hAnsiTheme="minorAscii" w:cstheme="minorAscii"/>
                <w:i w:val="1"/>
                <w:iCs w:val="1"/>
                <w:sz w:val="20"/>
                <w:szCs w:val="20"/>
              </w:rPr>
              <w:t>.</w:t>
            </w:r>
          </w:p>
        </w:tc>
        <w:tc>
          <w:tcPr>
            <w:tcW w:w="2574" w:type="dxa"/>
            <w:tcMar/>
          </w:tcPr>
          <w:p w:rsidRPr="00F008F8" w:rsidR="00E554A9" w:rsidRDefault="00E554A9" w14:paraId="7BC8262A" w14:textId="2EF1C15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</w:tc>
      </w:tr>
      <w:tr w:rsidR="38F60211" w:rsidTr="38F60211" w14:paraId="3DF74845">
        <w:trPr>
          <w:trHeight w:val="435"/>
        </w:trPr>
        <w:tc>
          <w:tcPr>
            <w:tcW w:w="11059" w:type="dxa"/>
            <w:gridSpan w:val="3"/>
            <w:shd w:val="clear" w:color="auto" w:fill="C6D9F1" w:themeFill="text2" w:themeFillTint="33"/>
            <w:tcMar/>
          </w:tcPr>
          <w:p w:rsidR="33C4037F" w:rsidP="38F60211" w:rsidRDefault="33C4037F" w14:noSpellErr="1" w14:paraId="37E825BB" w14:textId="282D5F71">
            <w:pPr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38F60211" w:rsidR="33C4037F"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sz w:val="20"/>
                <w:szCs w:val="20"/>
              </w:rPr>
              <w:t>Practise and apply</w:t>
            </w:r>
          </w:p>
          <w:p w:rsidR="38F60211" w:rsidP="38F60211" w:rsidRDefault="38F60211" w14:paraId="3D1B5C7B" w14:textId="250C6C40">
            <w:pPr>
              <w:pStyle w:val="Normal"/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00E554A9" w:rsidTr="38F60211" w14:paraId="7AF4E9A7" w14:textId="77777777">
        <w:trPr>
          <w:trHeight w:val="2066"/>
        </w:trPr>
        <w:tc>
          <w:tcPr>
            <w:tcW w:w="8485" w:type="dxa"/>
            <w:gridSpan w:val="2"/>
            <w:tcMar/>
          </w:tcPr>
          <w:p w:rsidRPr="00F008F8" w:rsidR="00DD123B" w:rsidP="38F60211" w:rsidRDefault="00DD123B" w14:paraId="54AB37BF" w14:textId="5BE15CAF">
            <w:pPr>
              <w:pStyle w:val="Normal"/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  <w:r w:rsidRPr="38F60211" w:rsidR="00DD123B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All the children are engaged</w:t>
            </w:r>
            <w:r w:rsidRPr="38F60211" w:rsidR="00DD123B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 xml:space="preserve"> and </w:t>
            </w:r>
            <w:r w:rsidRPr="38F60211" w:rsidR="00DD123B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have opportunities to apply their phonic knowledge and skills in reading and writing activities</w:t>
            </w:r>
            <w:r w:rsidRPr="38F60211" w:rsidR="00DD123B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.</w:t>
            </w:r>
          </w:p>
          <w:p w:rsidRPr="00F008F8" w:rsidR="00DD123B" w:rsidP="00DD123B" w:rsidRDefault="00DD123B" w14:paraId="47867FFD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</w:p>
          <w:p w:rsidRPr="00F008F8" w:rsidR="00DD123B" w:rsidP="00DD123B" w:rsidRDefault="00DD123B" w14:paraId="21BD0901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Activities promote all four interdependent strands of language: speaking, listening, reading, and writing.</w:t>
            </w:r>
          </w:p>
          <w:p w:rsidRPr="00F008F8" w:rsidR="00DD123B" w:rsidP="00DD123B" w:rsidRDefault="00DD123B" w14:paraId="1B3BAE7D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</w:p>
          <w:p w:rsidRPr="00F008F8" w:rsidR="00DD123B" w:rsidP="00DD123B" w:rsidRDefault="00DD123B" w14:paraId="0DE8F271" w14:textId="6C0F1F96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Adaptation is evident when appropriate.</w:t>
            </w:r>
          </w:p>
          <w:p w:rsidRPr="00F008F8" w:rsidR="00DD123B" w:rsidP="00DD123B" w:rsidRDefault="00DD123B" w14:paraId="3CA9913F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</w:p>
          <w:p w:rsidRPr="00F008F8" w:rsidR="00DD123B" w:rsidP="00DD123B" w:rsidRDefault="00DD123B" w14:paraId="50360091" w14:textId="51F2D1E0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Children articulate the phonemes correctly.</w:t>
            </w:r>
          </w:p>
          <w:p w:rsidRPr="00F008F8" w:rsidR="00DD123B" w:rsidP="00DD123B" w:rsidRDefault="00DD123B" w14:paraId="42C09CFB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</w:p>
          <w:p w:rsidRPr="00F008F8" w:rsidR="00DD123B" w:rsidP="00DD123B" w:rsidRDefault="00DD123B" w14:paraId="5E219F49" w14:textId="3D4179DA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Children blend phonemes to read words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and/or segment words into phonemes for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spelling.</w:t>
            </w:r>
          </w:p>
          <w:p w:rsidRPr="00F008F8" w:rsidR="00DD123B" w:rsidP="00DD123B" w:rsidRDefault="00DD123B" w14:paraId="4AE8A4E3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</w:p>
          <w:p w:rsidRPr="00F008F8" w:rsidR="00DD123B" w:rsidP="00DD123B" w:rsidRDefault="00DD123B" w14:paraId="5A0A6B7C" w14:textId="70ED4A21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Children are given effective feedback.</w:t>
            </w:r>
          </w:p>
          <w:p w:rsidRPr="00F008F8" w:rsidR="00DD123B" w:rsidP="00DD123B" w:rsidRDefault="00DD123B" w14:paraId="5CCA57C6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</w:p>
          <w:p w:rsidRPr="00F008F8" w:rsidR="00DD123B" w:rsidP="008A24CE" w:rsidRDefault="00DD123B" w14:paraId="46DB2DCB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>Pace is appropriate.</w:t>
            </w:r>
            <w:r w:rsidRPr="00F008F8">
              <w:rPr>
                <w:rFonts w:eastAsia="Arial"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Pr="00F008F8" w:rsidR="008A24CE" w:rsidP="008A24CE" w:rsidRDefault="008A24CE" w14:paraId="23A1BE90" w14:textId="77777777">
            <w:pPr>
              <w:rPr>
                <w:rFonts w:eastAsia="Arial" w:asciiTheme="minorHAnsi" w:hAnsiTheme="minorHAnsi" w:cstheme="minorHAnsi"/>
                <w:bCs/>
                <w:sz w:val="20"/>
                <w:szCs w:val="20"/>
              </w:rPr>
            </w:pPr>
          </w:p>
          <w:p w:rsidRPr="00F008F8" w:rsidR="00E554A9" w:rsidP="38F60211" w:rsidRDefault="00E554A9" w14:paraId="376544DE" w14:textId="2787D985">
            <w:pPr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  <w:r w:rsidRPr="38F60211" w:rsidR="00DD123B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Clear models and examples are used to</w:t>
            </w:r>
            <w:r w:rsidRPr="38F60211" w:rsidR="00DD123B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38F60211" w:rsidR="00DD123B"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  <w:t>support pupil progress.</w:t>
            </w:r>
          </w:p>
        </w:tc>
        <w:tc>
          <w:tcPr>
            <w:tcW w:w="2574" w:type="dxa"/>
            <w:tcMar/>
          </w:tcPr>
          <w:p w:rsidRPr="00F008F8" w:rsidR="005B106F" w:rsidP="001130F1" w:rsidRDefault="005B106F" w14:paraId="455C2499" w14:textId="0E5EAE7C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</w:tc>
      </w:tr>
      <w:tr w:rsidR="38F60211" w:rsidTr="38F60211" w14:paraId="4F5C989F">
        <w:trPr>
          <w:trHeight w:val="375"/>
        </w:trPr>
        <w:tc>
          <w:tcPr>
            <w:tcW w:w="11059" w:type="dxa"/>
            <w:gridSpan w:val="3"/>
            <w:shd w:val="clear" w:color="auto" w:fill="C6D9F1" w:themeFill="text2" w:themeFillTint="33"/>
            <w:tcMar/>
          </w:tcPr>
          <w:p w:rsidR="3A2A99E3" w:rsidP="38F60211" w:rsidRDefault="3A2A99E3" w14:paraId="65E784A6" w14:textId="754AADB2">
            <w:pPr>
              <w:pStyle w:val="Normal"/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38F60211" w:rsidR="3A2A99E3"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sz w:val="20"/>
                <w:szCs w:val="20"/>
              </w:rPr>
              <w:t>Assessment</w:t>
            </w:r>
          </w:p>
        </w:tc>
      </w:tr>
      <w:tr w:rsidR="00E554A9" w:rsidTr="38F60211" w14:paraId="5E2FC300" w14:textId="77777777">
        <w:trPr>
          <w:trHeight w:val="2206"/>
        </w:trPr>
        <w:tc>
          <w:tcPr>
            <w:tcW w:w="8485" w:type="dxa"/>
            <w:gridSpan w:val="2"/>
            <w:tcMar/>
          </w:tcPr>
          <w:p w:rsidRPr="00F008F8" w:rsidR="00E554A9" w:rsidP="38F60211" w:rsidRDefault="00FA0C3C" w14:paraId="20B4B756" w14:textId="209CA76F">
            <w:pPr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38F60211" w:rsidR="00FA0C3C"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</w:p>
          <w:p w:rsidRPr="00F008F8" w:rsidR="008A24CE" w:rsidP="008A24CE" w:rsidRDefault="008A24CE" w14:paraId="045B6193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Take account of prior learning.</w:t>
            </w:r>
          </w:p>
          <w:p w:rsidRPr="00F008F8" w:rsidR="008A24CE" w:rsidP="008A24CE" w:rsidRDefault="008A24CE" w14:paraId="40BAEBA1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8A24CE" w:rsidP="00DD123B" w:rsidRDefault="00DD123B" w14:paraId="5DEE608C" w14:textId="4CEEA0F1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Trainee </w:t>
            </w: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checks for</w:t>
            </w: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 </w:t>
            </w: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understanding</w:t>
            </w: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 and formative a</w:t>
            </w:r>
            <w:r w:rsidRPr="00F008F8" w:rsidR="008A24CE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ssessment </w:t>
            </w: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is </w:t>
            </w:r>
            <w:r w:rsidRPr="00F008F8" w:rsidR="008A24CE">
              <w:rPr>
                <w:rFonts w:eastAsia="Arial" w:asciiTheme="minorHAnsi" w:hAnsiTheme="minorHAnsi" w:cstheme="minorHAnsi"/>
                <w:sz w:val="20"/>
                <w:szCs w:val="20"/>
              </w:rPr>
              <w:t>built into the session.</w:t>
            </w:r>
          </w:p>
          <w:p w:rsidRPr="00F008F8" w:rsidR="008A24CE" w:rsidP="008A24CE" w:rsidRDefault="008A24CE" w14:paraId="1CFAC4BC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8A24CE" w:rsidP="008A24CE" w:rsidRDefault="00DD123B" w14:paraId="5B5A2D06" w14:textId="3805125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Trainee addresses misconceptions</w:t>
            </w:r>
            <w:r w:rsidRPr="00F008F8" w:rsidR="008A24CE">
              <w:rPr>
                <w:rFonts w:eastAsia="Arial" w:asciiTheme="minorHAnsi" w:hAnsiTheme="minorHAnsi" w:cstheme="minorHAnsi"/>
                <w:sz w:val="20"/>
                <w:szCs w:val="20"/>
              </w:rPr>
              <w:t xml:space="preserve"> or incorrect articulation.</w:t>
            </w:r>
          </w:p>
          <w:p w:rsidRPr="00F008F8" w:rsidR="00DD123B" w:rsidP="008A24CE" w:rsidRDefault="00DD123B" w14:paraId="18F60A19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8A24CE" w:rsidP="008A24CE" w:rsidRDefault="008A24CE" w14:paraId="5992A67D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Evidence of adaptive teaching.</w:t>
            </w:r>
          </w:p>
          <w:p w:rsidRPr="00F008F8" w:rsidR="00DD123B" w:rsidP="008A24CE" w:rsidRDefault="00DD123B" w14:paraId="72BEC89E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DD123B" w:rsidP="008A24CE" w:rsidRDefault="00DD123B" w14:paraId="130AC186" w14:textId="20923D78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Questioning is used to good effect.</w:t>
            </w:r>
          </w:p>
          <w:p w:rsidRPr="00F008F8" w:rsidR="008A24CE" w:rsidP="008A24CE" w:rsidRDefault="008A24CE" w14:paraId="6A09E2CC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8A24CE" w:rsidP="008A24CE" w:rsidRDefault="008A24CE" w14:paraId="184EA0B3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Evidence of challenge and support.</w:t>
            </w:r>
          </w:p>
          <w:p w:rsidRPr="00F008F8" w:rsidR="008A24CE" w:rsidP="008A24CE" w:rsidRDefault="008A24CE" w14:paraId="1B77BEC8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8A24CE" w:rsidP="008A24CE" w:rsidRDefault="008A24CE" w14:paraId="5BDECAA2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Evidence of new learning as well as consolidation.</w:t>
            </w:r>
          </w:p>
          <w:p w:rsidRPr="00F008F8" w:rsidR="008A24CE" w:rsidP="008A24CE" w:rsidRDefault="008A24CE" w14:paraId="0D1089BD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F008F8" w:rsidR="00E554A9" w:rsidP="008A24CE" w:rsidRDefault="008A24CE" w14:paraId="00A01611" w14:textId="77777777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Evidence of effective feedback to children</w:t>
            </w:r>
          </w:p>
          <w:p w:rsidRPr="00F008F8" w:rsidR="00DD123B" w:rsidP="38F60211" w:rsidRDefault="00DD123B" w14:paraId="4FEA27E5" w14:noSpellErr="1" w14:textId="7FBE21AE">
            <w:pPr>
              <w:pStyle w:val="Normal"/>
              <w:rPr>
                <w:rFonts w:ascii="Calibri" w:hAnsi="Calibri" w:eastAsia="Arial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2574" w:type="dxa"/>
            <w:tcMar/>
          </w:tcPr>
          <w:p w:rsidRPr="00F008F8" w:rsidR="009162D8" w:rsidRDefault="00DB3F9D" w14:paraId="6055FF4B" w14:textId="03418A18">
            <w:pPr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554A9" w:rsidTr="38F60211" w14:paraId="4B4B0CE1" w14:textId="77777777">
        <w:trPr>
          <w:trHeight w:val="2314"/>
        </w:trPr>
        <w:tc>
          <w:tcPr>
            <w:tcW w:w="5745" w:type="dxa"/>
            <w:tcMar/>
          </w:tcPr>
          <w:p w:rsidRPr="00F008F8" w:rsidR="00FA19CF" w:rsidP="0077137D" w:rsidRDefault="00FA0C3C" w14:paraId="44DFF35D" w14:textId="3238BC56">
            <w:pPr>
              <w:rPr>
                <w:rFonts w:eastAsia="Arial" w:asciiTheme="minorHAnsi" w:hAnsiTheme="minorHAnsi" w:cstheme="minorHAnsi"/>
                <w:b/>
                <w:i/>
                <w:sz w:val="20"/>
                <w:szCs w:val="20"/>
              </w:rPr>
            </w:pPr>
            <w:r w:rsidRPr="00F008F8">
              <w:rPr>
                <w:rFonts w:eastAsia="Arial" w:asciiTheme="minorHAnsi" w:hAnsiTheme="minorHAnsi" w:cstheme="minorHAnsi"/>
                <w:b/>
                <w:i/>
                <w:sz w:val="20"/>
                <w:szCs w:val="20"/>
              </w:rPr>
              <w:t>Strength</w:t>
            </w:r>
            <w:r w:rsidRPr="00F008F8" w:rsidR="0077137D">
              <w:rPr>
                <w:rFonts w:eastAsia="Arial" w:asciiTheme="minorHAnsi" w:hAnsiTheme="minorHAnsi" w:cstheme="minorHAnsi"/>
                <w:b/>
                <w:i/>
                <w:sz w:val="20"/>
                <w:szCs w:val="20"/>
              </w:rPr>
              <w:t>s</w:t>
            </w:r>
            <w:r w:rsidRPr="00F008F8" w:rsidR="003A069B">
              <w:rPr>
                <w:rFonts w:eastAsia="Arial" w:asciiTheme="minorHAnsi" w:hAnsiTheme="minorHAnsi" w:cstheme="minorHAnsi"/>
                <w:b/>
                <w:i/>
                <w:sz w:val="20"/>
                <w:szCs w:val="20"/>
              </w:rPr>
              <w:t xml:space="preserve"> – </w:t>
            </w:r>
          </w:p>
          <w:p w:rsidRPr="00F008F8" w:rsidR="003A069B" w:rsidP="0077137D" w:rsidRDefault="003A069B" w14:paraId="7B6247AB" w14:textId="7A08F65B">
            <w:pPr>
              <w:rPr>
                <w:rFonts w:eastAsia="Arial"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314" w:type="dxa"/>
            <w:gridSpan w:val="2"/>
            <w:tcMar/>
          </w:tcPr>
          <w:p w:rsidRPr="00F008F8" w:rsidR="00FA19CF" w:rsidP="38F60211" w:rsidRDefault="00FA0C3C" w14:paraId="0EEC64F3" w14:textId="7212773A">
            <w:pPr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38F60211" w:rsidR="00FA0C3C"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i w:val="1"/>
                <w:iCs w:val="1"/>
                <w:sz w:val="20"/>
                <w:szCs w:val="20"/>
              </w:rPr>
              <w:t>Targets</w:t>
            </w:r>
            <w:r w:rsidRPr="38F60211" w:rsidR="003A069B"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i w:val="1"/>
                <w:iCs w:val="1"/>
                <w:sz w:val="20"/>
                <w:szCs w:val="20"/>
              </w:rPr>
              <w:t xml:space="preserve">  </w:t>
            </w:r>
            <w:r w:rsidRPr="38F60211" w:rsidR="7572BFCD">
              <w:rPr>
                <w:rFonts w:ascii="Calibri" w:hAnsi="Calibri" w:eastAsia="Arial" w:cs="Calibri" w:asciiTheme="minorAscii" w:hAnsiTheme="minorAscii" w:cstheme="minorAscii"/>
                <w:b w:val="1"/>
                <w:bCs w:val="1"/>
                <w:i w:val="1"/>
                <w:iCs w:val="1"/>
                <w:sz w:val="20"/>
                <w:szCs w:val="20"/>
              </w:rPr>
              <w:t xml:space="preserve">- </w:t>
            </w:r>
          </w:p>
          <w:p w:rsidRPr="00F008F8" w:rsidR="00DD123B" w:rsidP="00FA19CF" w:rsidRDefault="00DD123B" w14:paraId="1A8A6B82" w14:textId="459DF78C">
            <w:pPr>
              <w:rPr>
                <w:rFonts w:eastAsia="Arial"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FA19CF" w:rsidTr="38F60211" w14:paraId="5D468031" w14:textId="77777777">
        <w:trPr>
          <w:trHeight w:val="1123"/>
        </w:trPr>
        <w:tc>
          <w:tcPr>
            <w:tcW w:w="11059" w:type="dxa"/>
            <w:gridSpan w:val="3"/>
            <w:tcMar/>
          </w:tcPr>
          <w:p w:rsidR="00FA19CF" w:rsidP="00FA19CF" w:rsidRDefault="00FA19CF" w14:paraId="0EF4C231" w14:textId="77777777">
            <w:pPr>
              <w:rPr>
                <w:rFonts w:ascii="Arial" w:hAnsi="Arial" w:eastAsia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i/>
                <w:sz w:val="18"/>
                <w:szCs w:val="18"/>
              </w:rPr>
              <w:t>Research Links</w:t>
            </w:r>
          </w:p>
          <w:p w:rsidRPr="00FA19CF" w:rsidR="00FA19CF" w:rsidP="00FA19CF" w:rsidRDefault="00000000" w14:paraId="2A328046" w14:textId="32700CC0">
            <w:pPr>
              <w:rPr>
                <w:rFonts w:ascii="Arial" w:hAnsi="Arial" w:eastAsia="Arial" w:cs="Arial"/>
                <w:b/>
                <w:i/>
                <w:sz w:val="18"/>
                <w:szCs w:val="18"/>
              </w:rPr>
            </w:pPr>
            <w:hyperlink w:history="1" r:id="rId10">
              <w:r w:rsidRPr="00FA19CF" w:rsidR="00FA19CF">
                <w:rPr>
                  <w:rStyle w:val="Hyperlink"/>
                  <w:rFonts w:cs="Calibri"/>
                  <w:lang w:eastAsia="en-US"/>
                </w:rPr>
                <w:t>UK Literacy</w:t>
              </w:r>
            </w:hyperlink>
            <w:r w:rsidRPr="00FA19CF" w:rsidR="00FA19CF">
              <w:rPr>
                <w:rFonts w:cs="Calibri"/>
                <w:lang w:eastAsia="en-US"/>
              </w:rPr>
              <w:t xml:space="preserve"> Association </w:t>
            </w:r>
          </w:p>
          <w:p w:rsidR="00FA19CF" w:rsidP="00FA19CF" w:rsidRDefault="00000000" w14:paraId="4F63B49F" w14:textId="0FA5D008">
            <w:pPr>
              <w:rPr>
                <w:lang w:eastAsia="en-US"/>
              </w:rPr>
            </w:pPr>
            <w:hyperlink w:history="1" r:id="rId11">
              <w:r w:rsidRPr="00FA19CF" w:rsidR="00FA19CF">
                <w:rPr>
                  <w:rStyle w:val="Hyperlink"/>
                  <w:lang w:eastAsia="en-US"/>
                </w:rPr>
                <w:t>Centre for Literacy in Primary Education</w:t>
              </w:r>
            </w:hyperlink>
            <w:r w:rsidR="00FA19CF">
              <w:rPr>
                <w:lang w:eastAsia="en-US"/>
              </w:rPr>
              <w:t xml:space="preserve"> </w:t>
            </w:r>
          </w:p>
          <w:p w:rsidRPr="00480D09" w:rsidR="00FA19CF" w:rsidRDefault="00000000" w14:paraId="61498A2B" w14:textId="554346AB">
            <w:pPr>
              <w:rPr>
                <w:lang w:eastAsia="en-US"/>
              </w:rPr>
            </w:pPr>
            <w:hyperlink w:history="1" r:id="rId12">
              <w:r w:rsidRPr="00FA19CF" w:rsidR="00FA19CF">
                <w:rPr>
                  <w:rStyle w:val="Hyperlink"/>
                  <w:lang w:eastAsia="en-US"/>
                </w:rPr>
                <w:t>Phonics International</w:t>
              </w:r>
            </w:hyperlink>
            <w:r w:rsidR="00FA19CF">
              <w:rPr>
                <w:lang w:eastAsia="en-US"/>
              </w:rPr>
              <w:t xml:space="preserve"> </w:t>
            </w:r>
          </w:p>
        </w:tc>
      </w:tr>
    </w:tbl>
    <w:p w:rsidR="00E554A9" w:rsidRDefault="00E554A9" w14:paraId="1939E57D" w14:textId="77777777">
      <w:pPr>
        <w:spacing w:after="200" w:line="276" w:lineRule="auto"/>
        <w:rPr>
          <w:rFonts w:ascii="Arial" w:hAnsi="Arial" w:eastAsia="Arial" w:cs="Arial"/>
          <w:sz w:val="18"/>
          <w:szCs w:val="18"/>
        </w:rPr>
      </w:pPr>
    </w:p>
    <w:sectPr w:rsidR="00E554A9" w:rsidSect="0077137D">
      <w:headerReference w:type="default" r:id="rId13"/>
      <w:pgSz w:w="11906" w:h="16838" w:orient="portrait"/>
      <w:pgMar w:top="284" w:right="1134" w:bottom="5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65C1" w:rsidRDefault="00C665C1" w14:paraId="1AFA2A77" w14:textId="77777777">
      <w:r>
        <w:separator/>
      </w:r>
    </w:p>
  </w:endnote>
  <w:endnote w:type="continuationSeparator" w:id="0">
    <w:p w:rsidR="00C665C1" w:rsidRDefault="00C665C1" w14:paraId="377F7E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65C1" w:rsidRDefault="00C665C1" w14:paraId="786BC148" w14:textId="77777777">
      <w:r>
        <w:separator/>
      </w:r>
    </w:p>
  </w:footnote>
  <w:footnote w:type="continuationSeparator" w:id="0">
    <w:p w:rsidR="00C665C1" w:rsidRDefault="00C665C1" w14:paraId="142BA23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4A9" w:rsidRDefault="00FA0C3C" w14:paraId="22B9C9F8" w14:textId="6C3CD3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709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1E8"/>
    <w:multiLevelType w:val="hybridMultilevel"/>
    <w:tmpl w:val="F6B4067C"/>
    <w:lvl w:ilvl="0" w:tplc="908A9086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D24CE4"/>
    <w:multiLevelType w:val="hybridMultilevel"/>
    <w:tmpl w:val="11C4E9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2303A1"/>
    <w:multiLevelType w:val="hybridMultilevel"/>
    <w:tmpl w:val="135AAB58"/>
    <w:lvl w:ilvl="0" w:tplc="FB2ECA50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7E75AF"/>
    <w:multiLevelType w:val="hybridMultilevel"/>
    <w:tmpl w:val="EF44C308"/>
    <w:lvl w:ilvl="0" w:tplc="DF52EC46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9536F3"/>
    <w:multiLevelType w:val="hybridMultilevel"/>
    <w:tmpl w:val="923A24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B104F7"/>
    <w:multiLevelType w:val="hybridMultilevel"/>
    <w:tmpl w:val="D3E6D2FC"/>
    <w:lvl w:ilvl="0" w:tplc="62DE746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F644DF"/>
    <w:multiLevelType w:val="hybridMultilevel"/>
    <w:tmpl w:val="6B9496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EF7147"/>
    <w:multiLevelType w:val="hybridMultilevel"/>
    <w:tmpl w:val="EA04564C"/>
    <w:lvl w:ilvl="0" w:tplc="BBBCA150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ED3402"/>
    <w:multiLevelType w:val="hybridMultilevel"/>
    <w:tmpl w:val="E8A81024"/>
    <w:lvl w:ilvl="0" w:tplc="4F2A59D0">
      <w:start w:val="1"/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28917112">
    <w:abstractNumId w:val="7"/>
  </w:num>
  <w:num w:numId="2" w16cid:durableId="553002649">
    <w:abstractNumId w:val="3"/>
  </w:num>
  <w:num w:numId="3" w16cid:durableId="2082024657">
    <w:abstractNumId w:val="2"/>
  </w:num>
  <w:num w:numId="4" w16cid:durableId="2107113913">
    <w:abstractNumId w:val="0"/>
  </w:num>
  <w:num w:numId="5" w16cid:durableId="1298535235">
    <w:abstractNumId w:val="5"/>
  </w:num>
  <w:num w:numId="6" w16cid:durableId="795878249">
    <w:abstractNumId w:val="8"/>
  </w:num>
  <w:num w:numId="7" w16cid:durableId="1015497489">
    <w:abstractNumId w:val="1"/>
  </w:num>
  <w:num w:numId="8" w16cid:durableId="350037026">
    <w:abstractNumId w:val="4"/>
  </w:num>
  <w:num w:numId="9" w16cid:durableId="1490560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A9"/>
    <w:rsid w:val="00064C66"/>
    <w:rsid w:val="001130F1"/>
    <w:rsid w:val="001B1AE7"/>
    <w:rsid w:val="001F7F14"/>
    <w:rsid w:val="002946BF"/>
    <w:rsid w:val="0029727A"/>
    <w:rsid w:val="002E0BD1"/>
    <w:rsid w:val="00330ACD"/>
    <w:rsid w:val="003A069B"/>
    <w:rsid w:val="00464B9D"/>
    <w:rsid w:val="00480D09"/>
    <w:rsid w:val="00505F29"/>
    <w:rsid w:val="005B106F"/>
    <w:rsid w:val="00601384"/>
    <w:rsid w:val="00663BB1"/>
    <w:rsid w:val="007433E7"/>
    <w:rsid w:val="0077137D"/>
    <w:rsid w:val="008318BA"/>
    <w:rsid w:val="008A24CE"/>
    <w:rsid w:val="008A6761"/>
    <w:rsid w:val="0091085B"/>
    <w:rsid w:val="00914C88"/>
    <w:rsid w:val="009162D8"/>
    <w:rsid w:val="00936109"/>
    <w:rsid w:val="00AE404E"/>
    <w:rsid w:val="00C665C1"/>
    <w:rsid w:val="00C97D23"/>
    <w:rsid w:val="00D517F4"/>
    <w:rsid w:val="00DB3F9D"/>
    <w:rsid w:val="00DC63C3"/>
    <w:rsid w:val="00DD123B"/>
    <w:rsid w:val="00DD75C2"/>
    <w:rsid w:val="00E554A9"/>
    <w:rsid w:val="00E572C9"/>
    <w:rsid w:val="00F008F8"/>
    <w:rsid w:val="00F62D92"/>
    <w:rsid w:val="00FA0C3C"/>
    <w:rsid w:val="00FA19CF"/>
    <w:rsid w:val="06B5428A"/>
    <w:rsid w:val="09A2C61F"/>
    <w:rsid w:val="101207A3"/>
    <w:rsid w:val="1179413A"/>
    <w:rsid w:val="1321A425"/>
    <w:rsid w:val="18382C74"/>
    <w:rsid w:val="1CB32FFE"/>
    <w:rsid w:val="203018F3"/>
    <w:rsid w:val="29C5CBC4"/>
    <w:rsid w:val="2AA9A849"/>
    <w:rsid w:val="33320987"/>
    <w:rsid w:val="33C4037F"/>
    <w:rsid w:val="35F44876"/>
    <w:rsid w:val="367A391C"/>
    <w:rsid w:val="38F60211"/>
    <w:rsid w:val="3A2A99E3"/>
    <w:rsid w:val="3AC7B999"/>
    <w:rsid w:val="3C6389FA"/>
    <w:rsid w:val="3CE0CF80"/>
    <w:rsid w:val="5A4C9E9A"/>
    <w:rsid w:val="64775238"/>
    <w:rsid w:val="7572BFCD"/>
    <w:rsid w:val="7B20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CAD2"/>
  <w15:docId w15:val="{44DEB95E-1CCE-4268-8727-BF832CEA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70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170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1703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17035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1703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7035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7035"/>
    <w:rPr>
      <w:rFonts w:ascii="Tahoma" w:hAnsi="Tahoma" w:eastAsia="Times New Roman" w:cs="Tahoma"/>
      <w:sz w:val="16"/>
      <w:szCs w:val="16"/>
      <w:lang w:eastAsia="en-GB"/>
    </w:rPr>
  </w:style>
  <w:style w:type="character" w:styleId="Hyperlink">
    <w:name w:val="Hyperlink"/>
    <w:rsid w:val="00C510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6D6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A19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9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phonicsinternational.com/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clpe.org.uk/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ukla.org/research/" TargetMode="External" Id="rId10" /><Relationship Type="http://schemas.openxmlformats.org/officeDocument/2006/relationships/settings" Target="settings.xml" Id="rId4" /><Relationship Type="http://schemas.openxmlformats.org/officeDocument/2006/relationships/image" Target="cid:image003.png@01D99DDD.0D68DE50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SAD9/7pnkmJnmvDxUXsOB3OY4g==">AMUW2mWEk3wvkkVM0PgnrO3DSZOqczyH5POWRjyTcs8bDDMwN2sontRBfQ9/GmHoKms6dH1gV5SEi74Y3AObsY0PWqOAdpGcNyuzY2O6sNoQxfnZzs8CwVo=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Edge Hill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Matthew Russell</dc:creator>
  <lastModifiedBy>Geraldine Mulhaney</lastModifiedBy>
  <revision>4</revision>
  <dcterms:created xsi:type="dcterms:W3CDTF">2023-12-05T14:14:00.0000000Z</dcterms:created>
  <dcterms:modified xsi:type="dcterms:W3CDTF">2023-12-06T07:02:29.8413667Z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0x01010080C6791F615F0249A998FAAD1298D9E2</vt:lpwstr>
  </property>
  <property fmtid="{D5CDD505-2E9C-101B-9397-08002B2CF9AE}" pid="3" name="i581938d62da43ab81a4aa751a3cb655">
    <vt:lpwstr>School of Education|e2d4a739-4cab-481c-a1a0-a3a25d3798cc</vt:lpwstr>
  </property>
  <property fmtid="{D5CDD505-2E9C-101B-9397-08002B2CF9AE}" pid="4" name="TaxCatchAll">
    <vt:lpwstr>8;#School of Education|e2d4a739-4cab-481c-a1a0-a3a25d3798cc</vt:lpwstr>
  </property>
  <property fmtid="{D5CDD505-2E9C-101B-9397-08002B2CF9AE}" pid="5" name="Department Owner">
    <vt:lpwstr>8;#School of Education|e2d4a739-4cab-481c-a1a0-a3a25d3798cc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