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06" w:type="dxa"/>
        <w:tblInd w:w="-436" w:type="dxa"/>
        <w:tblCellMar>
          <w:top w:w="145" w:type="dxa"/>
          <w:left w:w="98" w:type="dxa"/>
          <w:right w:w="68" w:type="dxa"/>
        </w:tblCellMar>
        <w:tblLook w:val="04A0" w:firstRow="1" w:lastRow="0" w:firstColumn="1" w:lastColumn="0" w:noHBand="0" w:noVBand="1"/>
      </w:tblPr>
      <w:tblGrid>
        <w:gridCol w:w="1461"/>
        <w:gridCol w:w="85"/>
        <w:gridCol w:w="442"/>
        <w:gridCol w:w="424"/>
        <w:gridCol w:w="359"/>
        <w:gridCol w:w="354"/>
        <w:gridCol w:w="425"/>
        <w:gridCol w:w="1894"/>
        <w:gridCol w:w="89"/>
        <w:gridCol w:w="2090"/>
        <w:gridCol w:w="179"/>
        <w:gridCol w:w="606"/>
        <w:gridCol w:w="579"/>
        <w:gridCol w:w="943"/>
        <w:gridCol w:w="724"/>
        <w:gridCol w:w="552"/>
      </w:tblGrid>
      <w:tr w:rsidR="00BB0205" w:rsidRPr="00F07217" w14:paraId="31D4C3CB" w14:textId="77777777" w:rsidTr="00615C5F">
        <w:trPr>
          <w:trHeight w:val="680"/>
        </w:trPr>
        <w:tc>
          <w:tcPr>
            <w:tcW w:w="11206" w:type="dxa"/>
            <w:gridSpan w:val="16"/>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639A6A9"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9B2245">
              <w:rPr>
                <w:rFonts w:ascii="Cambria" w:eastAsia="Georgia" w:hAnsi="Cambria" w:cs="Georgia"/>
                <w:b/>
                <w:color w:val="FFFFFF" w:themeColor="background1"/>
                <w:sz w:val="20"/>
                <w:szCs w:val="20"/>
              </w:rPr>
              <w:t>20</w:t>
            </w:r>
            <w:r w:rsidR="00F31A2E">
              <w:rPr>
                <w:rFonts w:ascii="Cambria" w:eastAsia="Georgia" w:hAnsi="Cambria" w:cs="Georgia"/>
                <w:b/>
                <w:color w:val="FFFFFF" w:themeColor="background1"/>
                <w:sz w:val="20"/>
                <w:szCs w:val="20"/>
              </w:rPr>
              <w:t xml:space="preserve"> </w:t>
            </w:r>
          </w:p>
        </w:tc>
      </w:tr>
      <w:tr w:rsidR="00E65DEB" w:rsidRPr="00F07217" w14:paraId="691F8551" w14:textId="77777777" w:rsidTr="00615C5F">
        <w:trPr>
          <w:trHeight w:val="650"/>
        </w:trPr>
        <w:tc>
          <w:tcPr>
            <w:tcW w:w="11206" w:type="dxa"/>
            <w:gridSpan w:val="16"/>
            <w:tcBorders>
              <w:top w:val="single" w:sz="4" w:space="0" w:color="auto"/>
              <w:left w:val="single" w:sz="4" w:space="0" w:color="auto"/>
              <w:bottom w:val="single" w:sz="4" w:space="0" w:color="auto"/>
              <w:right w:val="single" w:sz="4" w:space="0" w:color="auto"/>
            </w:tcBorders>
            <w:shd w:val="clear" w:color="auto" w:fill="FFFF00"/>
          </w:tcPr>
          <w:p w14:paraId="052E0933" w14:textId="5078C349" w:rsidR="00E65DEB"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F31A2E">
              <w:rPr>
                <w:rFonts w:ascii="Cambria" w:hAnsi="Cambria"/>
                <w:b/>
                <w:bCs/>
                <w:sz w:val="20"/>
                <w:szCs w:val="20"/>
              </w:rPr>
              <w:t xml:space="preserve">PGCE / UHD Further Education and Training </w:t>
            </w:r>
          </w:p>
          <w:p w14:paraId="51155A7A" w14:textId="77777777" w:rsidR="00F31A2E" w:rsidRPr="00523D39" w:rsidRDefault="00F31A2E">
            <w:pPr>
              <w:jc w:val="both"/>
              <w:rPr>
                <w:rFonts w:ascii="Cambria" w:hAnsi="Cambria"/>
                <w:b/>
                <w:bCs/>
                <w:sz w:val="20"/>
                <w:szCs w:val="20"/>
              </w:rPr>
            </w:pP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733D3D">
        <w:trPr>
          <w:trHeight w:val="126"/>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1025B6C3" w:rsidR="004009A7" w:rsidRPr="00523D39" w:rsidRDefault="004009A7">
            <w:pPr>
              <w:jc w:val="both"/>
              <w:rPr>
                <w:rFonts w:ascii="Cambria" w:hAnsi="Cambria"/>
                <w:b/>
                <w:bCs/>
                <w:sz w:val="20"/>
                <w:szCs w:val="20"/>
              </w:rPr>
            </w:pPr>
            <w:r w:rsidRPr="00523D39">
              <w:rPr>
                <w:rFonts w:ascii="Cambria" w:hAnsi="Cambria"/>
                <w:b/>
                <w:bCs/>
                <w:sz w:val="20"/>
                <w:szCs w:val="20"/>
              </w:rPr>
              <w:t>Name</w:t>
            </w:r>
            <w:r w:rsidR="00F31A2E">
              <w:rPr>
                <w:rFonts w:ascii="Cambria" w:hAnsi="Cambria"/>
                <w:b/>
                <w:bCs/>
                <w:sz w:val="20"/>
                <w:szCs w:val="20"/>
              </w:rPr>
              <w:t xml:space="preserve"> </w:t>
            </w:r>
            <w:r w:rsidRPr="00523D39">
              <w:rPr>
                <w:rFonts w:ascii="Cambria" w:hAnsi="Cambria"/>
                <w:b/>
                <w:bCs/>
                <w:sz w:val="20"/>
                <w:szCs w:val="20"/>
              </w:rPr>
              <w:t>of trainee</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1D745CE3" w14:textId="5E3AC0C0"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Trainee ID no.</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2BC66C0E" w:rsidR="004009A7" w:rsidRPr="007422DD" w:rsidRDefault="004009A7">
            <w:pPr>
              <w:jc w:val="both"/>
              <w:rPr>
                <w:rFonts w:ascii="Cambria" w:hAnsi="Cambria"/>
                <w:b/>
                <w:bCs/>
                <w:color w:val="FF0000"/>
              </w:rPr>
            </w:pPr>
          </w:p>
        </w:tc>
      </w:tr>
      <w:tr w:rsidR="004009A7" w:rsidRPr="00F07217" w14:paraId="7196D986"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0E2DD972" w14:textId="0F016D9B"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Professional Practice phase</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55D84772" w:rsidR="004009A7" w:rsidRPr="00F31A2E" w:rsidRDefault="009B2245">
            <w:pPr>
              <w:jc w:val="both"/>
              <w:rPr>
                <w:rFonts w:ascii="Cambria" w:hAnsi="Cambria"/>
                <w:b/>
                <w:bCs/>
                <w:color w:val="auto"/>
              </w:rPr>
            </w:pPr>
            <w:r>
              <w:rPr>
                <w:rFonts w:ascii="Cambria" w:hAnsi="Cambria"/>
                <w:b/>
                <w:bCs/>
                <w:color w:val="auto"/>
              </w:rPr>
              <w:t xml:space="preserve">Developmental </w:t>
            </w:r>
          </w:p>
        </w:tc>
      </w:tr>
      <w:tr w:rsidR="004009A7" w:rsidRPr="00F07217" w14:paraId="4FBA03EC"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244641AB" w14:textId="44D67D58" w:rsidR="004009A7" w:rsidRPr="007422DD" w:rsidRDefault="004009A7">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Name of setting</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62C173F" w:rsidR="004009A7" w:rsidRPr="00F31A2E" w:rsidRDefault="004009A7">
            <w:pPr>
              <w:jc w:val="both"/>
              <w:rPr>
                <w:rFonts w:ascii="Cambria" w:hAnsi="Cambria"/>
                <w:b/>
                <w:bCs/>
                <w:color w:val="auto"/>
              </w:rPr>
            </w:pPr>
          </w:p>
        </w:tc>
      </w:tr>
      <w:tr w:rsidR="004009A7" w:rsidRPr="00F07217" w14:paraId="4FA3BD19"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3987" w:type="dxa"/>
            <w:gridSpan w:val="7"/>
            <w:tcBorders>
              <w:top w:val="single" w:sz="4" w:space="0" w:color="auto"/>
              <w:left w:val="single" w:sz="4" w:space="0" w:color="auto"/>
              <w:bottom w:val="single" w:sz="4" w:space="0" w:color="auto"/>
              <w:right w:val="single" w:sz="4" w:space="0" w:color="auto"/>
            </w:tcBorders>
            <w:shd w:val="clear" w:color="auto" w:fill="auto"/>
          </w:tcPr>
          <w:p w14:paraId="58508142" w14:textId="37AAE6F8" w:rsidR="004009A7" w:rsidRPr="00733D3D" w:rsidRDefault="00733D3D">
            <w:pPr>
              <w:jc w:val="both"/>
              <w:rPr>
                <w:rFonts w:ascii="Cambria" w:hAnsi="Cambria"/>
                <w:b/>
                <w:bCs/>
                <w:color w:val="auto"/>
                <w:sz w:val="24"/>
                <w:szCs w:val="24"/>
              </w:rPr>
            </w:pPr>
            <w:r w:rsidRPr="00733D3D">
              <w:rPr>
                <w:rFonts w:ascii="Cambria" w:hAnsi="Cambria"/>
                <w:b/>
                <w:bCs/>
                <w:color w:val="auto"/>
                <w:sz w:val="24"/>
                <w:szCs w:val="24"/>
              </w:rPr>
              <w:t>PGCE / UHD Further Education and Training</w:t>
            </w:r>
            <w:r w:rsidR="000C5D4D">
              <w:rPr>
                <w:rFonts w:ascii="Cambria" w:hAnsi="Cambria"/>
                <w:b/>
                <w:bCs/>
                <w:color w:val="auto"/>
                <w:sz w:val="24"/>
                <w:szCs w:val="24"/>
              </w:rPr>
              <w:t xml:space="preserve"> (please highlight) </w:t>
            </w:r>
          </w:p>
          <w:p w14:paraId="5068FCC5" w14:textId="73936EFC" w:rsidR="00733D3D" w:rsidRPr="007422DD" w:rsidRDefault="00733D3D">
            <w:pPr>
              <w:jc w:val="both"/>
              <w:rPr>
                <w:rFonts w:ascii="Cambria" w:hAnsi="Cambria"/>
                <w:b/>
                <w:bCs/>
                <w:color w:val="FF0000"/>
                <w:sz w:val="24"/>
                <w:szCs w:val="24"/>
              </w:rPr>
            </w:pPr>
          </w:p>
        </w:tc>
        <w:tc>
          <w:tcPr>
            <w:tcW w:w="2875"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2861D5" w:rsidRDefault="004009A7">
            <w:pPr>
              <w:jc w:val="both"/>
              <w:rPr>
                <w:rFonts w:ascii="Cambria" w:hAnsi="Cambria"/>
                <w:b/>
                <w:bCs/>
                <w:color w:val="auto"/>
                <w:sz w:val="20"/>
                <w:szCs w:val="20"/>
              </w:rPr>
            </w:pPr>
            <w:r w:rsidRPr="002861D5">
              <w:rPr>
                <w:rFonts w:ascii="Cambria" w:hAnsi="Cambria"/>
                <w:b/>
                <w:bCs/>
                <w:color w:val="auto"/>
                <w:sz w:val="20"/>
                <w:szCs w:val="20"/>
              </w:rPr>
              <w:t>Week beginning</w:t>
            </w:r>
          </w:p>
        </w:tc>
        <w:tc>
          <w:tcPr>
            <w:tcW w:w="2798"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41E03AF0" w:rsidR="004009A7" w:rsidRPr="00F31A2E" w:rsidRDefault="009B2245">
            <w:pPr>
              <w:jc w:val="both"/>
              <w:rPr>
                <w:rFonts w:ascii="Cambria" w:hAnsi="Cambria"/>
                <w:b/>
                <w:bCs/>
                <w:color w:val="auto"/>
                <w:sz w:val="24"/>
                <w:szCs w:val="24"/>
              </w:rPr>
            </w:pPr>
            <w:r>
              <w:rPr>
                <w:rFonts w:ascii="Cambria" w:hAnsi="Cambria"/>
                <w:b/>
                <w:bCs/>
                <w:color w:val="auto"/>
                <w:sz w:val="24"/>
                <w:szCs w:val="24"/>
              </w:rPr>
              <w:t>8</w:t>
            </w:r>
            <w:r w:rsidRPr="009B2245">
              <w:rPr>
                <w:rFonts w:ascii="Cambria" w:hAnsi="Cambria"/>
                <w:b/>
                <w:bCs/>
                <w:color w:val="auto"/>
                <w:sz w:val="24"/>
                <w:szCs w:val="24"/>
                <w:vertAlign w:val="superscript"/>
              </w:rPr>
              <w:t>th</w:t>
            </w:r>
            <w:r>
              <w:rPr>
                <w:rFonts w:ascii="Cambria" w:hAnsi="Cambria"/>
                <w:b/>
                <w:bCs/>
                <w:color w:val="auto"/>
                <w:sz w:val="24"/>
                <w:szCs w:val="24"/>
              </w:rPr>
              <w:t xml:space="preserve"> January</w:t>
            </w:r>
            <w:r w:rsidR="00F31A2E" w:rsidRPr="00F31A2E">
              <w:rPr>
                <w:rFonts w:ascii="Cambria" w:hAnsi="Cambria"/>
                <w:b/>
                <w:bCs/>
                <w:color w:val="auto"/>
                <w:sz w:val="24"/>
                <w:szCs w:val="24"/>
              </w:rPr>
              <w:t xml:space="preserve"> 202</w:t>
            </w:r>
            <w:r>
              <w:rPr>
                <w:rFonts w:ascii="Cambria" w:hAnsi="Cambria"/>
                <w:b/>
                <w:bCs/>
                <w:color w:val="auto"/>
                <w:sz w:val="24"/>
                <w:szCs w:val="24"/>
              </w:rPr>
              <w:t>4</w:t>
            </w:r>
          </w:p>
        </w:tc>
      </w:tr>
      <w:tr w:rsidR="009B2245" w:rsidRPr="00F07217" w14:paraId="25B9C3C9" w14:textId="77777777" w:rsidTr="00733D3D">
        <w:trPr>
          <w:trHeight w:val="123"/>
        </w:trPr>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733D3D" w:rsidRPr="00523D39" w:rsidRDefault="00733D3D" w:rsidP="00733D3D">
            <w:pPr>
              <w:jc w:val="center"/>
              <w:rPr>
                <w:rFonts w:ascii="Cambria" w:hAnsi="Cambria"/>
                <w:b/>
                <w:bCs/>
                <w:sz w:val="20"/>
                <w:szCs w:val="20"/>
              </w:rPr>
            </w:pPr>
            <w:r w:rsidRPr="00523D39">
              <w:rPr>
                <w:rFonts w:ascii="Cambria" w:hAnsi="Cambria"/>
                <w:b/>
                <w:bCs/>
                <w:sz w:val="20"/>
                <w:szCs w:val="20"/>
              </w:rPr>
              <w:t>Days trainee has attended this week</w:t>
            </w: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3BCD715B" w14:textId="27751A2F" w:rsidR="00733D3D" w:rsidRPr="00733D3D" w:rsidRDefault="00733D3D" w:rsidP="00733D3D">
            <w:pPr>
              <w:rPr>
                <w:rFonts w:ascii="Cambria" w:hAnsi="Cambria"/>
                <w:b/>
                <w:bCs/>
                <w:sz w:val="20"/>
                <w:szCs w:val="20"/>
              </w:rPr>
            </w:pPr>
            <w:r w:rsidRPr="00733D3D">
              <w:rPr>
                <w:rFonts w:ascii="Cambria" w:hAnsi="Cambria"/>
                <w:b/>
                <w:bCs/>
                <w:sz w:val="20"/>
                <w:szCs w:val="20"/>
              </w:rPr>
              <w:t>M</w:t>
            </w: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4E047DBE" w14:textId="527A4D06" w:rsidR="00733D3D" w:rsidRPr="00733D3D" w:rsidRDefault="00733D3D" w:rsidP="00733D3D">
            <w:pPr>
              <w:jc w:val="center"/>
              <w:rPr>
                <w:rFonts w:ascii="Cambria" w:hAnsi="Cambria"/>
                <w:b/>
                <w:bCs/>
                <w:sz w:val="20"/>
                <w:szCs w:val="20"/>
              </w:rPr>
            </w:pPr>
            <w:r w:rsidRPr="00733D3D">
              <w:rPr>
                <w:rFonts w:ascii="Cambria" w:hAnsi="Cambria"/>
                <w:b/>
                <w:bCs/>
                <w:sz w:val="20"/>
                <w:szCs w:val="20"/>
              </w:rPr>
              <w:t>T</w:t>
            </w:r>
          </w:p>
        </w:tc>
        <w:tc>
          <w:tcPr>
            <w:tcW w:w="359" w:type="dxa"/>
            <w:tcBorders>
              <w:top w:val="single" w:sz="4" w:space="0" w:color="auto"/>
              <w:left w:val="single" w:sz="4" w:space="0" w:color="auto"/>
              <w:bottom w:val="single" w:sz="4" w:space="0" w:color="auto"/>
              <w:right w:val="single" w:sz="4" w:space="0" w:color="auto"/>
            </w:tcBorders>
            <w:shd w:val="clear" w:color="auto" w:fill="auto"/>
          </w:tcPr>
          <w:p w14:paraId="4F562C3B" w14:textId="38E9B1C0" w:rsidR="00733D3D" w:rsidRPr="00733D3D" w:rsidRDefault="00733D3D" w:rsidP="00733D3D">
            <w:pPr>
              <w:jc w:val="center"/>
              <w:rPr>
                <w:rFonts w:ascii="Cambria" w:hAnsi="Cambria"/>
                <w:b/>
                <w:bCs/>
                <w:sz w:val="20"/>
                <w:szCs w:val="20"/>
              </w:rPr>
            </w:pPr>
            <w:r w:rsidRPr="00733D3D">
              <w:rPr>
                <w:rFonts w:ascii="Cambria" w:hAnsi="Cambria"/>
                <w:b/>
                <w:bCs/>
                <w:sz w:val="20"/>
                <w:szCs w:val="20"/>
              </w:rPr>
              <w:t>W</w:t>
            </w:r>
          </w:p>
        </w:tc>
        <w:tc>
          <w:tcPr>
            <w:tcW w:w="354" w:type="dxa"/>
            <w:tcBorders>
              <w:top w:val="single" w:sz="4" w:space="0" w:color="auto"/>
              <w:left w:val="single" w:sz="4" w:space="0" w:color="auto"/>
              <w:bottom w:val="single" w:sz="4" w:space="0" w:color="auto"/>
              <w:right w:val="single" w:sz="4" w:space="0" w:color="auto"/>
            </w:tcBorders>
            <w:shd w:val="clear" w:color="auto" w:fill="auto"/>
          </w:tcPr>
          <w:p w14:paraId="7D08B77A" w14:textId="7854F308" w:rsidR="00733D3D" w:rsidRPr="00733D3D" w:rsidRDefault="00733D3D" w:rsidP="00733D3D">
            <w:pPr>
              <w:jc w:val="center"/>
              <w:rPr>
                <w:rFonts w:ascii="Cambria" w:hAnsi="Cambria"/>
                <w:b/>
                <w:bCs/>
                <w:sz w:val="20"/>
                <w:szCs w:val="20"/>
              </w:rPr>
            </w:pPr>
            <w:r w:rsidRPr="00733D3D">
              <w:rPr>
                <w:rFonts w:ascii="Cambria" w:hAnsi="Cambria"/>
                <w:b/>
                <w:bCs/>
                <w:sz w:val="20"/>
                <w:szCs w:val="20"/>
              </w:rPr>
              <w:t>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A5213D" w14:textId="6DFC6367" w:rsidR="00733D3D" w:rsidRPr="00733D3D" w:rsidRDefault="00733D3D" w:rsidP="00733D3D">
            <w:pPr>
              <w:jc w:val="center"/>
              <w:rPr>
                <w:rFonts w:ascii="Cambria" w:hAnsi="Cambria"/>
                <w:b/>
                <w:bCs/>
                <w:sz w:val="20"/>
                <w:szCs w:val="20"/>
              </w:rPr>
            </w:pPr>
            <w:r w:rsidRPr="00733D3D">
              <w:rPr>
                <w:rFonts w:ascii="Cambria" w:hAnsi="Cambria"/>
                <w:b/>
                <w:bCs/>
                <w:sz w:val="20"/>
                <w:szCs w:val="20"/>
              </w:rPr>
              <w:t>F</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13F8C042" w14:textId="28F5DC09" w:rsidR="00733D3D" w:rsidRPr="00523D39" w:rsidRDefault="00733D3D" w:rsidP="00733D3D">
            <w:pPr>
              <w:jc w:val="center"/>
              <w:rPr>
                <w:rFonts w:ascii="Cambria" w:hAnsi="Cambria"/>
                <w:b/>
                <w:bCs/>
                <w:sz w:val="20"/>
                <w:szCs w:val="20"/>
              </w:rPr>
            </w:pPr>
            <w:r>
              <w:rPr>
                <w:rFonts w:ascii="Cambria" w:hAnsi="Cambria"/>
                <w:b/>
                <w:bCs/>
                <w:sz w:val="20"/>
                <w:szCs w:val="20"/>
              </w:rPr>
              <w:t>ETF solo teaching hours to date</w:t>
            </w:r>
          </w:p>
        </w:tc>
        <w:tc>
          <w:tcPr>
            <w:tcW w:w="217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20C84942" w:rsidR="00733D3D" w:rsidRPr="002861D5" w:rsidRDefault="00733D3D" w:rsidP="00733D3D">
            <w:pPr>
              <w:jc w:val="center"/>
              <w:rPr>
                <w:rFonts w:ascii="Cambria" w:hAnsi="Cambria"/>
                <w:b/>
                <w:bCs/>
                <w:color w:val="auto"/>
                <w:sz w:val="28"/>
                <w:szCs w:val="28"/>
              </w:rPr>
            </w:pPr>
          </w:p>
        </w:tc>
        <w:tc>
          <w:tcPr>
            <w:tcW w:w="1364" w:type="dxa"/>
            <w:gridSpan w:val="3"/>
            <w:tcBorders>
              <w:top w:val="single" w:sz="4" w:space="0" w:color="auto"/>
              <w:left w:val="single" w:sz="4" w:space="0" w:color="auto"/>
              <w:bottom w:val="single" w:sz="4" w:space="0" w:color="auto"/>
              <w:right w:val="single" w:sz="4" w:space="0" w:color="auto"/>
            </w:tcBorders>
            <w:shd w:val="clear" w:color="auto" w:fill="auto"/>
          </w:tcPr>
          <w:p w14:paraId="62FC6C98" w14:textId="491903F8" w:rsidR="00733D3D" w:rsidRPr="002861D5" w:rsidRDefault="00733D3D" w:rsidP="00733D3D">
            <w:pPr>
              <w:jc w:val="center"/>
              <w:rPr>
                <w:rFonts w:ascii="Cambria" w:hAnsi="Cambria"/>
                <w:b/>
                <w:bCs/>
                <w:color w:val="auto"/>
                <w:sz w:val="20"/>
                <w:szCs w:val="20"/>
              </w:rPr>
            </w:pPr>
            <w:r w:rsidRPr="002861D5">
              <w:rPr>
                <w:rFonts w:ascii="Cambria" w:hAnsi="Cambria"/>
                <w:b/>
                <w:bCs/>
                <w:color w:val="auto"/>
                <w:sz w:val="20"/>
                <w:szCs w:val="20"/>
              </w:rPr>
              <w:t>ETF teaching observations to date</w:t>
            </w:r>
          </w:p>
        </w:tc>
        <w:tc>
          <w:tcPr>
            <w:tcW w:w="2219"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3EAF1EED" w:rsidR="00733D3D" w:rsidRPr="002861D5" w:rsidRDefault="00733D3D" w:rsidP="00733D3D">
            <w:pPr>
              <w:jc w:val="center"/>
              <w:rPr>
                <w:rFonts w:ascii="Cambria" w:hAnsi="Cambria"/>
                <w:b/>
                <w:bCs/>
                <w:color w:val="auto"/>
                <w:sz w:val="28"/>
                <w:szCs w:val="28"/>
              </w:rPr>
            </w:pPr>
          </w:p>
        </w:tc>
      </w:tr>
      <w:tr w:rsidR="00733D3D" w:rsidRPr="00F07217" w14:paraId="0EB57F5F" w14:textId="77777777" w:rsidTr="009C3E89">
        <w:trPr>
          <w:trHeight w:val="650"/>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733D3D" w:rsidRPr="00523D39" w:rsidRDefault="00733D3D" w:rsidP="00733D3D">
            <w:pPr>
              <w:rPr>
                <w:rFonts w:ascii="Cambria" w:hAnsi="Cambria"/>
                <w:b/>
                <w:bCs/>
                <w:sz w:val="20"/>
                <w:szCs w:val="20"/>
              </w:rPr>
            </w:pPr>
            <w:r w:rsidRPr="00523D39">
              <w:rPr>
                <w:rFonts w:ascii="Cambria" w:hAnsi="Cambria"/>
                <w:b/>
                <w:bCs/>
                <w:sz w:val="20"/>
                <w:szCs w:val="20"/>
              </w:rPr>
              <w:t>Key reading for the week</w:t>
            </w:r>
          </w:p>
          <w:p w14:paraId="4E67F24B" w14:textId="11E5B013" w:rsidR="00733D3D" w:rsidRPr="00523D39" w:rsidRDefault="00733D3D" w:rsidP="00733D3D">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745" w:type="dxa"/>
            <w:gridSpan w:val="15"/>
            <w:tcBorders>
              <w:top w:val="single" w:sz="4" w:space="0" w:color="auto"/>
              <w:left w:val="single" w:sz="4" w:space="0" w:color="auto"/>
              <w:bottom w:val="single" w:sz="4" w:space="0" w:color="auto"/>
              <w:right w:val="single" w:sz="4" w:space="0" w:color="auto"/>
            </w:tcBorders>
            <w:shd w:val="clear" w:color="auto" w:fill="auto"/>
          </w:tcPr>
          <w:p w14:paraId="6C0A7DF0" w14:textId="77777777" w:rsidR="009B2245" w:rsidRPr="00D01736" w:rsidRDefault="00733D3D" w:rsidP="009B2245">
            <w:pPr>
              <w:spacing w:after="0" w:line="240" w:lineRule="auto"/>
              <w:jc w:val="both"/>
              <w:rPr>
                <w:b/>
                <w:bCs/>
              </w:rPr>
            </w:pPr>
            <w:r w:rsidRPr="00523D39">
              <w:rPr>
                <w:rFonts w:ascii="Cambria" w:hAnsi="Cambria" w:cstheme="minorHAnsi"/>
                <w:b/>
                <w:bCs/>
                <w:sz w:val="20"/>
                <w:szCs w:val="20"/>
              </w:rPr>
              <w:t>Summary</w:t>
            </w:r>
            <w:r w:rsidR="008C38E8">
              <w:rPr>
                <w:rFonts w:ascii="Cambria" w:hAnsi="Cambria" w:cstheme="minorHAnsi"/>
                <w:b/>
                <w:bCs/>
                <w:sz w:val="20"/>
                <w:szCs w:val="20"/>
              </w:rPr>
              <w:t>:</w:t>
            </w:r>
            <w:r w:rsidR="00CE4D47">
              <w:t xml:space="preserve"> </w:t>
            </w:r>
            <w:r w:rsidR="009B2245" w:rsidRPr="00D01736">
              <w:rPr>
                <w:b/>
                <w:bCs/>
              </w:rPr>
              <w:t xml:space="preserve">Since the 1997 Green Paper, Excellence for All Children, the government has made a firm </w:t>
            </w:r>
          </w:p>
          <w:p w14:paraId="74547305" w14:textId="19602030" w:rsidR="009B2245" w:rsidRPr="00D01736" w:rsidRDefault="009B2245" w:rsidP="009B2245">
            <w:pPr>
              <w:spacing w:after="0" w:line="240" w:lineRule="auto"/>
              <w:jc w:val="both"/>
              <w:rPr>
                <w:b/>
                <w:bCs/>
              </w:rPr>
            </w:pPr>
            <w:r w:rsidRPr="00D01736">
              <w:rPr>
                <w:b/>
                <w:bCs/>
              </w:rPr>
              <w:t xml:space="preserve">commitment to a high quality of education for pupils with special educational needs (SEN). It has recognised that building the capacity of teachers and schools to teach pupils with a diverse range of SEN is key to raising the achievement of these pupils. This report provides an overview of teaching strategies and approaches for pupils with special educational needs, the theoretical underpinnings of these strategies and approaches, and the role of specialist knowledge in teaching these pupils. The report also considers how the findings of the scoping study </w:t>
            </w:r>
            <w:proofErr w:type="gramStart"/>
            <w:r w:rsidRPr="00D01736">
              <w:rPr>
                <w:b/>
                <w:bCs/>
              </w:rPr>
              <w:t>might</w:t>
            </w:r>
            <w:proofErr w:type="gramEnd"/>
            <w:r w:rsidRPr="00D01736">
              <w:rPr>
                <w:b/>
                <w:bCs/>
              </w:rPr>
              <w:t xml:space="preserve"> </w:t>
            </w:r>
          </w:p>
          <w:p w14:paraId="6645F06D" w14:textId="66CD7B67" w:rsidR="005E2543" w:rsidRPr="00D01736" w:rsidRDefault="009B2245" w:rsidP="009B2245">
            <w:pPr>
              <w:jc w:val="both"/>
              <w:rPr>
                <w:rFonts w:ascii="Cambria" w:hAnsi="Cambria"/>
                <w:b/>
                <w:bCs/>
                <w:color w:val="auto"/>
              </w:rPr>
            </w:pPr>
            <w:r w:rsidRPr="00D01736">
              <w:rPr>
                <w:b/>
                <w:bCs/>
              </w:rPr>
              <w:t xml:space="preserve">become embedded in </w:t>
            </w:r>
            <w:proofErr w:type="gramStart"/>
            <w:r w:rsidRPr="00D01736">
              <w:rPr>
                <w:b/>
                <w:bCs/>
              </w:rPr>
              <w:t>every day</w:t>
            </w:r>
            <w:proofErr w:type="gramEnd"/>
            <w:r w:rsidRPr="00D01736">
              <w:rPr>
                <w:b/>
                <w:bCs/>
              </w:rPr>
              <w:t xml:space="preserve"> teaching practice.</w:t>
            </w:r>
          </w:p>
          <w:p w14:paraId="03B105E9" w14:textId="77777777" w:rsidR="00D64072" w:rsidRDefault="00D64072" w:rsidP="00225BB8">
            <w:pPr>
              <w:jc w:val="both"/>
              <w:rPr>
                <w:rFonts w:ascii="Cambria" w:hAnsi="Cambria" w:cstheme="minorHAnsi"/>
                <w:b/>
                <w:bCs/>
                <w:sz w:val="20"/>
                <w:szCs w:val="20"/>
              </w:rPr>
            </w:pPr>
          </w:p>
          <w:p w14:paraId="3A8B688A" w14:textId="42DC542D" w:rsidR="00D01736" w:rsidRPr="00D01736" w:rsidRDefault="00733D3D" w:rsidP="00D01736">
            <w:pPr>
              <w:spacing w:after="0" w:line="240" w:lineRule="auto"/>
              <w:jc w:val="both"/>
              <w:rPr>
                <w:rFonts w:ascii="Cambria" w:hAnsi="Cambria" w:cstheme="minorHAnsi"/>
                <w:b/>
                <w:bCs/>
                <w:sz w:val="20"/>
                <w:szCs w:val="20"/>
              </w:rPr>
            </w:pPr>
            <w:r w:rsidRPr="002909D3">
              <w:rPr>
                <w:rFonts w:ascii="Cambria" w:hAnsi="Cambria" w:cstheme="minorHAnsi"/>
                <w:b/>
                <w:bCs/>
                <w:sz w:val="20"/>
                <w:szCs w:val="20"/>
              </w:rPr>
              <w:t>Limitations:</w:t>
            </w:r>
            <w:r w:rsidR="005E2543">
              <w:rPr>
                <w:rFonts w:ascii="Cambria" w:hAnsi="Cambria" w:cstheme="minorHAnsi"/>
                <w:b/>
                <w:bCs/>
                <w:sz w:val="20"/>
                <w:szCs w:val="20"/>
              </w:rPr>
              <w:t xml:space="preserve"> </w:t>
            </w:r>
            <w:r w:rsidR="00D01736" w:rsidRPr="00D01736">
              <w:rPr>
                <w:rFonts w:ascii="Cambria" w:hAnsi="Cambria" w:cstheme="minorHAnsi"/>
                <w:b/>
                <w:bCs/>
                <w:sz w:val="20"/>
                <w:szCs w:val="20"/>
              </w:rPr>
              <w:t xml:space="preserve">The report concluded that questions about whether there is a separate special education pedagogy are unhelpful given the current policy context, and that the more important agenda is about how to develop a pedagogy that is inclusive of all learners. The report considers how the </w:t>
            </w:r>
            <w:proofErr w:type="gramStart"/>
            <w:r w:rsidR="00D01736" w:rsidRPr="00D01736">
              <w:rPr>
                <w:rFonts w:ascii="Cambria" w:hAnsi="Cambria" w:cstheme="minorHAnsi"/>
                <w:b/>
                <w:bCs/>
                <w:sz w:val="20"/>
                <w:szCs w:val="20"/>
              </w:rPr>
              <w:t>strategies</w:t>
            </w:r>
            <w:proofErr w:type="gramEnd"/>
          </w:p>
          <w:p w14:paraId="01108192" w14:textId="43D0F88F" w:rsidR="00D01736" w:rsidRPr="00D01736" w:rsidRDefault="00D01736" w:rsidP="00D01736">
            <w:pPr>
              <w:spacing w:after="0" w:line="240" w:lineRule="auto"/>
              <w:jc w:val="both"/>
              <w:rPr>
                <w:rFonts w:ascii="Cambria" w:hAnsi="Cambria" w:cstheme="minorHAnsi"/>
                <w:b/>
                <w:bCs/>
                <w:sz w:val="20"/>
                <w:szCs w:val="20"/>
              </w:rPr>
            </w:pPr>
            <w:r w:rsidRPr="00D01736">
              <w:rPr>
                <w:rFonts w:ascii="Cambria" w:hAnsi="Cambria" w:cstheme="minorHAnsi"/>
                <w:b/>
                <w:bCs/>
                <w:sz w:val="20"/>
                <w:szCs w:val="20"/>
              </w:rPr>
              <w:t xml:space="preserve">identified from the review as having the potential to raise achievement might be usefully organised in a typology that could be used to create a multi-method response to teaching pupils with special educational needs. The report contains recommendations for further research. A second phase of this research </w:t>
            </w:r>
          </w:p>
          <w:p w14:paraId="71475D22" w14:textId="77777777" w:rsidR="00D01736" w:rsidRPr="00D01736" w:rsidRDefault="00D01736" w:rsidP="00D01736">
            <w:pPr>
              <w:spacing w:after="0" w:line="240" w:lineRule="auto"/>
              <w:jc w:val="both"/>
              <w:rPr>
                <w:rFonts w:ascii="Cambria" w:hAnsi="Cambria" w:cstheme="minorHAnsi"/>
                <w:b/>
                <w:bCs/>
                <w:sz w:val="20"/>
                <w:szCs w:val="20"/>
              </w:rPr>
            </w:pPr>
            <w:r w:rsidRPr="00D01736">
              <w:rPr>
                <w:rFonts w:ascii="Cambria" w:hAnsi="Cambria" w:cstheme="minorHAnsi"/>
                <w:b/>
                <w:bCs/>
                <w:sz w:val="20"/>
                <w:szCs w:val="20"/>
              </w:rPr>
              <w:t xml:space="preserve">programme should involve systematic, long-term development work across a range of sites and </w:t>
            </w:r>
          </w:p>
          <w:p w14:paraId="4CA23121" w14:textId="291A7884" w:rsidR="005E2543" w:rsidRDefault="00D01736" w:rsidP="00D01736">
            <w:pPr>
              <w:jc w:val="both"/>
              <w:rPr>
                <w:rFonts w:ascii="Cambria" w:hAnsi="Cambria" w:cstheme="minorHAnsi"/>
                <w:b/>
                <w:bCs/>
                <w:sz w:val="20"/>
                <w:szCs w:val="20"/>
              </w:rPr>
            </w:pPr>
            <w:r w:rsidRPr="00D01736">
              <w:rPr>
                <w:rFonts w:ascii="Cambria" w:hAnsi="Cambria" w:cstheme="minorHAnsi"/>
                <w:b/>
                <w:bCs/>
                <w:sz w:val="20"/>
                <w:szCs w:val="20"/>
              </w:rPr>
              <w:t>settings, which also allows for the examination of the impact of the innovations upon achievement. Such research is necessary to advance knowledge about teaching and learning, and to understand how combinations of teaching approaches might be used in different contexts and for different purposes. Such a research programme should examine teaching and learning in real settings as it will need to take account of the ways in which teachers do their work in relation to the wide variety of situations they face.</w:t>
            </w:r>
          </w:p>
          <w:p w14:paraId="59D1DDE1" w14:textId="77777777" w:rsidR="008C38E8" w:rsidRDefault="008C38E8" w:rsidP="00225BB8">
            <w:pPr>
              <w:jc w:val="both"/>
              <w:rPr>
                <w:rFonts w:ascii="Cambria" w:hAnsi="Cambria" w:cstheme="minorHAnsi"/>
                <w:b/>
                <w:bCs/>
                <w:sz w:val="20"/>
                <w:szCs w:val="20"/>
              </w:rPr>
            </w:pPr>
          </w:p>
          <w:p w14:paraId="6071F449" w14:textId="661034A2" w:rsidR="00733D3D" w:rsidRPr="00523D39" w:rsidRDefault="00733D3D" w:rsidP="001F2DAA">
            <w:pPr>
              <w:jc w:val="both"/>
              <w:rPr>
                <w:rFonts w:ascii="Cambria" w:hAnsi="Cambria" w:cstheme="minorHAnsi"/>
                <w:b/>
                <w:bCs/>
                <w:sz w:val="20"/>
                <w:szCs w:val="20"/>
              </w:rPr>
            </w:pPr>
            <w:r w:rsidRPr="00523D39">
              <w:rPr>
                <w:rFonts w:ascii="Cambria" w:hAnsi="Cambria" w:cstheme="minorHAnsi"/>
                <w:b/>
                <w:bCs/>
                <w:sz w:val="20"/>
                <w:szCs w:val="20"/>
              </w:rPr>
              <w:t>Reference</w:t>
            </w:r>
            <w:r w:rsidR="008C38E8">
              <w:rPr>
                <w:rFonts w:ascii="Cambria" w:hAnsi="Cambria" w:cstheme="minorHAnsi"/>
                <w:b/>
                <w:bCs/>
                <w:sz w:val="20"/>
                <w:szCs w:val="20"/>
              </w:rPr>
              <w:t>:</w:t>
            </w:r>
            <w:r w:rsidR="008C38E8">
              <w:t xml:space="preserve"> </w:t>
            </w:r>
            <w:r w:rsidR="00D01736" w:rsidRPr="00D01736">
              <w:t xml:space="preserve">Davis, P., Florian, L., Ainscow, M., Dyson, A., Farrell, P., Hick, P., Rouse, M. (2004) Teaching Strategies and Approaches for Pupils with Special Educational Needs: A Scoping Study. Accessible from: </w:t>
            </w:r>
            <w:hyperlink r:id="rId11" w:history="1">
              <w:r w:rsidR="00D01736" w:rsidRPr="001766BE">
                <w:rPr>
                  <w:rStyle w:val="Hyperlink"/>
                </w:rPr>
                <w:t>http://dera.ioe.ac.uk/6059/1/RR516.pdf</w:t>
              </w:r>
            </w:hyperlink>
            <w:r w:rsidR="00D01736">
              <w:t xml:space="preserve"> </w:t>
            </w:r>
          </w:p>
        </w:tc>
      </w:tr>
      <w:tr w:rsidR="00733D3D" w:rsidRPr="00F07217" w14:paraId="0811EF35" w14:textId="77777777" w:rsidTr="009C3E89">
        <w:trPr>
          <w:trHeight w:val="650"/>
        </w:trPr>
        <w:tc>
          <w:tcPr>
            <w:tcW w:w="1461" w:type="dxa"/>
            <w:tcBorders>
              <w:top w:val="single" w:sz="4" w:space="0" w:color="auto"/>
              <w:left w:val="single" w:sz="4" w:space="0" w:color="auto"/>
              <w:bottom w:val="single" w:sz="4" w:space="0" w:color="auto"/>
              <w:right w:val="single" w:sz="4" w:space="0" w:color="auto"/>
            </w:tcBorders>
            <w:shd w:val="clear" w:color="auto" w:fill="auto"/>
          </w:tcPr>
          <w:p w14:paraId="10E114CD" w14:textId="3B072985"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Support for mentoring in </w:t>
            </w:r>
            <w:r>
              <w:rPr>
                <w:rFonts w:ascii="Cambria" w:eastAsia="Georgia" w:hAnsi="Cambria" w:cs="Georgia"/>
                <w:b/>
                <w:sz w:val="20"/>
                <w:szCs w:val="20"/>
              </w:rPr>
              <w:t>the FE phase</w:t>
            </w:r>
          </w:p>
          <w:p w14:paraId="25E7C692" w14:textId="5858D2EF" w:rsidR="00733D3D" w:rsidRPr="00523D39" w:rsidRDefault="00733D3D" w:rsidP="00733D3D">
            <w:pPr>
              <w:spacing w:line="237" w:lineRule="auto"/>
              <w:jc w:val="center"/>
              <w:rPr>
                <w:rFonts w:ascii="Cambria" w:eastAsia="Georgia" w:hAnsi="Cambria" w:cs="Georgia"/>
                <w:b/>
                <w:sz w:val="20"/>
                <w:szCs w:val="20"/>
              </w:rPr>
            </w:pPr>
            <w:r w:rsidRPr="00523D39">
              <w:rPr>
                <w:rFonts w:ascii="Cambria" w:hAnsi="Cambria"/>
                <w:noProof/>
                <w:sz w:val="20"/>
                <w:szCs w:val="20"/>
              </w:rPr>
              <w:lastRenderedPageBreak/>
              <w:drawing>
                <wp:inline distT="0" distB="0" distL="0" distR="0" wp14:anchorId="62A0FE07" wp14:editId="553E3F43">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p w14:paraId="7314DB2E" w14:textId="0D8077E1" w:rsidR="00733D3D" w:rsidRPr="00523D39" w:rsidRDefault="00733D3D" w:rsidP="00733D3D">
            <w:pPr>
              <w:jc w:val="center"/>
              <w:rPr>
                <w:rFonts w:ascii="Cambria" w:hAnsi="Cambria"/>
                <w:b/>
                <w:bCs/>
                <w:sz w:val="20"/>
                <w:szCs w:val="20"/>
              </w:rPr>
            </w:pPr>
          </w:p>
        </w:tc>
        <w:tc>
          <w:tcPr>
            <w:tcW w:w="9745" w:type="dxa"/>
            <w:gridSpan w:val="15"/>
            <w:tcBorders>
              <w:top w:val="single" w:sz="4" w:space="0" w:color="auto"/>
              <w:left w:val="single" w:sz="4" w:space="0" w:color="auto"/>
              <w:bottom w:val="single" w:sz="4" w:space="0" w:color="auto"/>
              <w:right w:val="single" w:sz="4" w:space="0" w:color="auto"/>
            </w:tcBorders>
            <w:shd w:val="clear" w:color="auto" w:fill="auto"/>
          </w:tcPr>
          <w:p w14:paraId="7A95A94A" w14:textId="59F9AF9B" w:rsidR="00E22DA3" w:rsidRDefault="008467F5" w:rsidP="009B2245">
            <w:pPr>
              <w:pStyle w:val="xmsolistparagraph"/>
              <w:shd w:val="clear" w:color="auto" w:fill="FFFFFF"/>
              <w:spacing w:after="0"/>
              <w:rPr>
                <w:rFonts w:ascii="Cambria" w:hAnsi="Cambria" w:cstheme="minorHAnsi"/>
                <w:b/>
                <w:bCs/>
                <w:sz w:val="20"/>
                <w:szCs w:val="20"/>
              </w:rPr>
            </w:pPr>
            <w:r>
              <w:rPr>
                <w:rFonts w:ascii="Cambria" w:hAnsi="Cambria" w:cstheme="minorHAnsi"/>
                <w:b/>
                <w:bCs/>
                <w:sz w:val="20"/>
                <w:szCs w:val="20"/>
              </w:rPr>
              <w:lastRenderedPageBreak/>
              <w:t xml:space="preserve"> </w:t>
            </w:r>
            <w:hyperlink r:id="rId13" w:history="1">
              <w:r w:rsidR="00D01736" w:rsidRPr="001766BE">
                <w:rPr>
                  <w:rStyle w:val="Hyperlink"/>
                  <w:rFonts w:ascii="Cambria" w:hAnsi="Cambria" w:cstheme="minorHAnsi"/>
                  <w:b/>
                  <w:bCs/>
                  <w:sz w:val="20"/>
                  <w:szCs w:val="20"/>
                </w:rPr>
                <w:t>https://padlet.com/millingg/send-edge-hill-k7lx39p5fg5pvpfk/wish/2817998778</w:t>
              </w:r>
            </w:hyperlink>
            <w:r w:rsidR="00D01736">
              <w:rPr>
                <w:rFonts w:ascii="Cambria" w:hAnsi="Cambria" w:cstheme="minorHAnsi"/>
                <w:b/>
                <w:bCs/>
                <w:sz w:val="20"/>
                <w:szCs w:val="20"/>
              </w:rPr>
              <w:t xml:space="preserve">  </w:t>
            </w:r>
          </w:p>
          <w:p w14:paraId="46BED5CD" w14:textId="5537D52B" w:rsidR="008467F5" w:rsidRDefault="00D01736" w:rsidP="00D76306">
            <w:pPr>
              <w:pStyle w:val="xmsolistparagraph"/>
              <w:shd w:val="clear" w:color="auto" w:fill="FFFFFF"/>
              <w:spacing w:after="0"/>
              <w:rPr>
                <w:rFonts w:ascii="Cambria" w:hAnsi="Cambria" w:cstheme="minorHAnsi"/>
                <w:b/>
                <w:bCs/>
                <w:sz w:val="20"/>
                <w:szCs w:val="20"/>
              </w:rPr>
            </w:pPr>
            <w:hyperlink r:id="rId14" w:history="1">
              <w:r w:rsidRPr="001766BE">
                <w:rPr>
                  <w:rStyle w:val="Hyperlink"/>
                  <w:rFonts w:ascii="Cambria" w:hAnsi="Cambria" w:cstheme="minorHAnsi"/>
                  <w:b/>
                  <w:bCs/>
                  <w:sz w:val="20"/>
                  <w:szCs w:val="20"/>
                </w:rPr>
                <w:t>https://padlet.com/millingg/send-edge-hill-k7lx39p5fg5pvpfk/wish/2818000101</w:t>
              </w:r>
            </w:hyperlink>
            <w:r>
              <w:rPr>
                <w:rFonts w:ascii="Cambria" w:hAnsi="Cambria" w:cstheme="minorHAnsi"/>
                <w:b/>
                <w:bCs/>
                <w:sz w:val="20"/>
                <w:szCs w:val="20"/>
              </w:rPr>
              <w:t xml:space="preserve"> </w:t>
            </w:r>
          </w:p>
          <w:p w14:paraId="60C772EE" w14:textId="1782634C" w:rsidR="00D01736" w:rsidRDefault="00D01736" w:rsidP="00D76306">
            <w:pPr>
              <w:pStyle w:val="xmsolistparagraph"/>
              <w:shd w:val="clear" w:color="auto" w:fill="FFFFFF"/>
              <w:spacing w:after="0"/>
              <w:rPr>
                <w:rFonts w:ascii="Cambria" w:hAnsi="Cambria" w:cstheme="minorHAnsi"/>
                <w:b/>
                <w:bCs/>
                <w:sz w:val="20"/>
                <w:szCs w:val="20"/>
              </w:rPr>
            </w:pPr>
            <w:r>
              <w:rPr>
                <w:rFonts w:ascii="Cambria" w:hAnsi="Cambria" w:cstheme="minorHAnsi"/>
                <w:b/>
                <w:bCs/>
                <w:sz w:val="20"/>
                <w:szCs w:val="20"/>
              </w:rPr>
              <w:lastRenderedPageBreak/>
              <w:t xml:space="preserve">These are links to a Padlet created by the SFE Department SEND Lead – you will find useful information relating to SEND and the FE sector </w:t>
            </w:r>
          </w:p>
          <w:p w14:paraId="02295E43" w14:textId="187CE1D6" w:rsidR="008467F5" w:rsidRPr="00523D39" w:rsidRDefault="008467F5" w:rsidP="00D76306">
            <w:pPr>
              <w:pStyle w:val="xmsolistparagraph"/>
              <w:shd w:val="clear" w:color="auto" w:fill="FFFFFF"/>
              <w:spacing w:after="0"/>
              <w:rPr>
                <w:rFonts w:ascii="Cambria" w:hAnsi="Cambria" w:cstheme="minorHAnsi"/>
                <w:b/>
                <w:bCs/>
                <w:sz w:val="20"/>
                <w:szCs w:val="20"/>
              </w:rPr>
            </w:pPr>
          </w:p>
        </w:tc>
      </w:tr>
      <w:tr w:rsidR="00733D3D" w:rsidRPr="00F07217" w14:paraId="242BC6CD" w14:textId="77777777" w:rsidTr="009C3E89">
        <w:trPr>
          <w:trHeight w:val="262"/>
        </w:trPr>
        <w:tc>
          <w:tcPr>
            <w:tcW w:w="1461" w:type="dxa"/>
            <w:vMerge w:val="restart"/>
            <w:tcBorders>
              <w:top w:val="single" w:sz="4" w:space="0" w:color="auto"/>
              <w:left w:val="single" w:sz="4" w:space="0" w:color="auto"/>
              <w:right w:val="single" w:sz="4" w:space="0" w:color="auto"/>
            </w:tcBorders>
          </w:tcPr>
          <w:p w14:paraId="22257974" w14:textId="53252047" w:rsidR="00733D3D" w:rsidRPr="00523D39" w:rsidRDefault="00733D3D" w:rsidP="00733D3D">
            <w:pPr>
              <w:spacing w:line="237" w:lineRule="auto"/>
              <w:jc w:val="center"/>
              <w:rPr>
                <w:rFonts w:ascii="Cambria" w:hAnsi="Cambria"/>
                <w:b/>
                <w:bCs/>
                <w:sz w:val="20"/>
                <w:szCs w:val="20"/>
              </w:rPr>
            </w:pPr>
          </w:p>
          <w:p w14:paraId="323B0429" w14:textId="77777777" w:rsidR="00733D3D" w:rsidRPr="00523D39" w:rsidRDefault="00733D3D" w:rsidP="00733D3D">
            <w:pPr>
              <w:spacing w:line="237" w:lineRule="auto"/>
              <w:jc w:val="center"/>
              <w:rPr>
                <w:rFonts w:ascii="Cambria" w:hAnsi="Cambria"/>
                <w:b/>
                <w:bCs/>
                <w:sz w:val="20"/>
                <w:szCs w:val="20"/>
              </w:rPr>
            </w:pPr>
          </w:p>
          <w:p w14:paraId="794A60FE" w14:textId="12B12DE9" w:rsidR="00733D3D" w:rsidRPr="00523D39" w:rsidRDefault="00733D3D" w:rsidP="00733D3D">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733D3D" w:rsidRPr="00523D39" w:rsidRDefault="00733D3D" w:rsidP="00733D3D">
            <w:pPr>
              <w:rPr>
                <w:rFonts w:ascii="Cambria" w:hAnsi="Cambria"/>
                <w:sz w:val="20"/>
                <w:szCs w:val="20"/>
              </w:rPr>
            </w:pPr>
            <w:r w:rsidRPr="00523D39">
              <w:rPr>
                <w:rFonts w:ascii="Cambria" w:eastAsia="Georgia" w:hAnsi="Cambria" w:cs="Georgia"/>
                <w:sz w:val="20"/>
                <w:szCs w:val="20"/>
              </w:rPr>
              <w:t xml:space="preserve"> </w:t>
            </w:r>
          </w:p>
          <w:p w14:paraId="56739CEE" w14:textId="2D653E4C" w:rsidR="00733D3D" w:rsidRPr="00523D39" w:rsidRDefault="00733D3D" w:rsidP="00733D3D">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9193"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733D3D" w:rsidRPr="00523D39" w:rsidRDefault="00733D3D" w:rsidP="00733D3D">
            <w:pPr>
              <w:rPr>
                <w:rFonts w:ascii="Cambria" w:hAnsi="Cambria"/>
                <w:b/>
                <w:bCs/>
                <w:sz w:val="20"/>
                <w:szCs w:val="20"/>
              </w:rPr>
            </w:pPr>
            <w:r w:rsidRPr="00523D39">
              <w:rPr>
                <w:rFonts w:ascii="Cambria" w:hAnsi="Cambria"/>
                <w:b/>
                <w:bCs/>
                <w:sz w:val="20"/>
                <w:szCs w:val="20"/>
              </w:rPr>
              <w:t>This week trainees should have demonstrated that they know:</w:t>
            </w:r>
          </w:p>
        </w:tc>
        <w:tc>
          <w:tcPr>
            <w:tcW w:w="552"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733D3D" w:rsidRPr="00523D39" w:rsidRDefault="00733D3D" w:rsidP="00733D3D">
            <w:pPr>
              <w:jc w:val="center"/>
              <w:rPr>
                <w:rFonts w:ascii="Cambria" w:hAnsi="Cambria"/>
                <w:b/>
                <w:bCs/>
                <w:sz w:val="20"/>
                <w:szCs w:val="20"/>
              </w:rPr>
            </w:pPr>
            <w:r w:rsidRPr="00523D39">
              <w:rPr>
                <w:rFonts w:ascii="Cambria" w:hAnsi="Cambria"/>
                <w:b/>
                <w:bCs/>
                <w:sz w:val="20"/>
                <w:szCs w:val="20"/>
              </w:rPr>
              <w:t>Y/N</w:t>
            </w:r>
          </w:p>
          <w:p w14:paraId="0E7E73C3" w14:textId="3E44AEE5" w:rsidR="00733D3D" w:rsidRPr="00523D39" w:rsidRDefault="00733D3D" w:rsidP="00733D3D">
            <w:pPr>
              <w:jc w:val="center"/>
              <w:rPr>
                <w:rFonts w:ascii="Cambria" w:hAnsi="Cambria"/>
                <w:b/>
                <w:bCs/>
                <w:sz w:val="20"/>
                <w:szCs w:val="20"/>
              </w:rPr>
            </w:pPr>
          </w:p>
        </w:tc>
      </w:tr>
      <w:tr w:rsidR="00733D3D" w:rsidRPr="00F07217" w14:paraId="75C24513" w14:textId="77777777" w:rsidTr="009C3E89">
        <w:trPr>
          <w:trHeight w:val="968"/>
        </w:trPr>
        <w:tc>
          <w:tcPr>
            <w:tcW w:w="1461" w:type="dxa"/>
            <w:vMerge/>
            <w:tcBorders>
              <w:left w:val="single" w:sz="4" w:space="0" w:color="auto"/>
              <w:right w:val="single" w:sz="4" w:space="0" w:color="auto"/>
            </w:tcBorders>
          </w:tcPr>
          <w:p w14:paraId="38A28802"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tcPr>
          <w:p w14:paraId="6082CF9F" w14:textId="77777777" w:rsidR="009B2245" w:rsidRPr="009B2245" w:rsidRDefault="009B2245" w:rsidP="009B2245">
            <w:pPr>
              <w:spacing w:after="0" w:line="240" w:lineRule="auto"/>
              <w:rPr>
                <w:rFonts w:ascii="Cambria" w:hAnsi="Cambria"/>
                <w:b/>
                <w:bCs/>
                <w:color w:val="auto"/>
                <w:shd w:val="clear" w:color="auto" w:fill="FFFFFF"/>
              </w:rPr>
            </w:pPr>
            <w:r w:rsidRPr="009B2245">
              <w:rPr>
                <w:rFonts w:ascii="Cambria" w:hAnsi="Cambria"/>
                <w:b/>
                <w:bCs/>
                <w:color w:val="auto"/>
                <w:shd w:val="clear" w:color="auto" w:fill="FFFFFF"/>
              </w:rPr>
              <w:t>1.How to identify learners who need new content further broken down and/or who benefit from additional adaptions</w:t>
            </w:r>
          </w:p>
          <w:p w14:paraId="1563FDAD" w14:textId="77777777" w:rsidR="009B2245" w:rsidRPr="009B2245" w:rsidRDefault="009B2245" w:rsidP="009B2245">
            <w:pPr>
              <w:spacing w:after="0" w:line="240" w:lineRule="auto"/>
              <w:rPr>
                <w:rFonts w:ascii="Cambria" w:hAnsi="Cambria"/>
                <w:b/>
                <w:bCs/>
                <w:color w:val="auto"/>
                <w:shd w:val="clear" w:color="auto" w:fill="FFFFFF"/>
              </w:rPr>
            </w:pPr>
            <w:r w:rsidRPr="009B2245">
              <w:rPr>
                <w:rFonts w:ascii="Cambria" w:hAnsi="Cambria"/>
                <w:b/>
                <w:bCs/>
                <w:color w:val="auto"/>
                <w:shd w:val="clear" w:color="auto" w:fill="FFFFFF"/>
              </w:rPr>
              <w:t>2.How to support learners with a range of educational needs.</w:t>
            </w:r>
          </w:p>
          <w:p w14:paraId="38079371" w14:textId="77777777" w:rsidR="009B2245" w:rsidRPr="009B2245" w:rsidRDefault="009B2245" w:rsidP="009B2245">
            <w:pPr>
              <w:spacing w:after="0" w:line="240" w:lineRule="auto"/>
              <w:rPr>
                <w:rFonts w:ascii="Cambria" w:hAnsi="Cambria"/>
                <w:b/>
                <w:bCs/>
                <w:color w:val="auto"/>
                <w:shd w:val="clear" w:color="auto" w:fill="FFFFFF"/>
              </w:rPr>
            </w:pPr>
            <w:r w:rsidRPr="009B2245">
              <w:rPr>
                <w:rFonts w:ascii="Cambria" w:hAnsi="Cambria"/>
                <w:b/>
                <w:bCs/>
                <w:color w:val="auto"/>
                <w:shd w:val="clear" w:color="auto" w:fill="FFFFFF"/>
              </w:rPr>
              <w:t xml:space="preserve">3. Embrace social change and recognise that the practice of Equality Diversity and Inclusion is ever-changing appreciating the diversity of people and values in our society: linking to the Minimum Core </w:t>
            </w:r>
          </w:p>
          <w:p w14:paraId="4E488AE5" w14:textId="77F9A1BB" w:rsidR="000C5D4D" w:rsidRPr="00E87C70" w:rsidRDefault="000C5D4D" w:rsidP="00170752">
            <w:pPr>
              <w:rPr>
                <w:rFonts w:ascii="Cambria" w:hAnsi="Cambria"/>
                <w:b/>
                <w:bCs/>
                <w:color w:val="auto"/>
                <w:sz w:val="20"/>
                <w:szCs w:val="20"/>
                <w:shd w:val="clear" w:color="auto" w:fill="FFFFFF"/>
              </w:rPr>
            </w:pPr>
          </w:p>
        </w:tc>
        <w:tc>
          <w:tcPr>
            <w:tcW w:w="552" w:type="dxa"/>
            <w:tcBorders>
              <w:top w:val="single" w:sz="4" w:space="0" w:color="auto"/>
              <w:left w:val="single" w:sz="4" w:space="0" w:color="auto"/>
              <w:bottom w:val="single" w:sz="4" w:space="0" w:color="auto"/>
              <w:right w:val="single" w:sz="4" w:space="0" w:color="auto"/>
            </w:tcBorders>
          </w:tcPr>
          <w:p w14:paraId="500548AF" w14:textId="77CFB45A" w:rsidR="00733D3D" w:rsidRPr="00523D39" w:rsidRDefault="00733D3D" w:rsidP="00733D3D">
            <w:pPr>
              <w:jc w:val="center"/>
              <w:rPr>
                <w:rFonts w:ascii="Cambria" w:hAnsi="Cambria"/>
                <w:sz w:val="20"/>
                <w:szCs w:val="20"/>
              </w:rPr>
            </w:pPr>
          </w:p>
        </w:tc>
      </w:tr>
      <w:tr w:rsidR="00733D3D" w:rsidRPr="00F07217" w14:paraId="365EFF71" w14:textId="77777777" w:rsidTr="009C3E89">
        <w:trPr>
          <w:trHeight w:val="152"/>
        </w:trPr>
        <w:tc>
          <w:tcPr>
            <w:tcW w:w="1461" w:type="dxa"/>
            <w:vMerge/>
            <w:tcBorders>
              <w:left w:val="single" w:sz="4" w:space="0" w:color="auto"/>
              <w:right w:val="single" w:sz="4" w:space="0" w:color="auto"/>
            </w:tcBorders>
          </w:tcPr>
          <w:p w14:paraId="39E4C718"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733D3D" w:rsidRPr="00523D39" w:rsidRDefault="00733D3D" w:rsidP="00733D3D">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552"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733D3D" w:rsidRPr="00523D39" w:rsidRDefault="00733D3D" w:rsidP="00733D3D">
            <w:pPr>
              <w:jc w:val="center"/>
              <w:rPr>
                <w:rFonts w:ascii="Cambria" w:hAnsi="Cambria"/>
                <w:b/>
                <w:bCs/>
                <w:sz w:val="20"/>
                <w:szCs w:val="20"/>
              </w:rPr>
            </w:pPr>
            <w:r w:rsidRPr="00523D39">
              <w:rPr>
                <w:rFonts w:ascii="Cambria" w:hAnsi="Cambria"/>
                <w:b/>
                <w:bCs/>
                <w:sz w:val="20"/>
                <w:szCs w:val="20"/>
              </w:rPr>
              <w:t>Y/N</w:t>
            </w:r>
          </w:p>
          <w:p w14:paraId="18B6C2E1" w14:textId="115AA463" w:rsidR="00733D3D" w:rsidRPr="00523D39" w:rsidRDefault="00733D3D" w:rsidP="00733D3D">
            <w:pPr>
              <w:jc w:val="center"/>
              <w:rPr>
                <w:rFonts w:ascii="Cambria" w:hAnsi="Cambria"/>
                <w:b/>
                <w:bCs/>
                <w:sz w:val="20"/>
                <w:szCs w:val="20"/>
              </w:rPr>
            </w:pPr>
          </w:p>
        </w:tc>
      </w:tr>
      <w:tr w:rsidR="00733D3D" w:rsidRPr="00F07217" w14:paraId="0B2BB01B" w14:textId="77777777" w:rsidTr="009C3E89">
        <w:trPr>
          <w:trHeight w:val="152"/>
        </w:trPr>
        <w:tc>
          <w:tcPr>
            <w:tcW w:w="1461" w:type="dxa"/>
            <w:vMerge/>
            <w:tcBorders>
              <w:left w:val="single" w:sz="4" w:space="0" w:color="auto"/>
              <w:bottom w:val="single" w:sz="4" w:space="0" w:color="auto"/>
              <w:right w:val="single" w:sz="4" w:space="0" w:color="auto"/>
            </w:tcBorders>
          </w:tcPr>
          <w:p w14:paraId="6816228A" w14:textId="77777777" w:rsidR="00733D3D" w:rsidRPr="00523D39" w:rsidRDefault="00733D3D" w:rsidP="00733D3D">
            <w:pPr>
              <w:spacing w:line="237" w:lineRule="auto"/>
              <w:jc w:val="center"/>
              <w:rPr>
                <w:rFonts w:ascii="Cambria" w:hAnsi="Cambria"/>
                <w:b/>
                <w:bCs/>
                <w:sz w:val="20"/>
                <w:szCs w:val="20"/>
              </w:rPr>
            </w:pPr>
          </w:p>
        </w:tc>
        <w:tc>
          <w:tcPr>
            <w:tcW w:w="9193" w:type="dxa"/>
            <w:gridSpan w:val="14"/>
            <w:tcBorders>
              <w:top w:val="single" w:sz="4" w:space="0" w:color="auto"/>
              <w:left w:val="single" w:sz="4" w:space="0" w:color="auto"/>
              <w:bottom w:val="single" w:sz="4" w:space="0" w:color="auto"/>
              <w:right w:val="single" w:sz="4" w:space="0" w:color="auto"/>
            </w:tcBorders>
          </w:tcPr>
          <w:p w14:paraId="6D847D7B" w14:textId="77777777" w:rsidR="009B2245" w:rsidRPr="009B2245" w:rsidRDefault="009B2245" w:rsidP="009B2245">
            <w:pPr>
              <w:spacing w:after="0" w:line="240" w:lineRule="auto"/>
              <w:rPr>
                <w:rFonts w:ascii="Cambria" w:hAnsi="Cambria"/>
                <w:b/>
                <w:bCs/>
              </w:rPr>
            </w:pPr>
            <w:r w:rsidRPr="009B2245">
              <w:rPr>
                <w:rFonts w:ascii="Cambria" w:hAnsi="Cambria"/>
                <w:b/>
                <w:bCs/>
              </w:rPr>
              <w:t xml:space="preserve">1. Adapt their teaching practice for those learners who have a </w:t>
            </w:r>
            <w:proofErr w:type="spellStart"/>
            <w:r w:rsidRPr="009B2245">
              <w:rPr>
                <w:rFonts w:ascii="Cambria" w:hAnsi="Cambria"/>
                <w:b/>
                <w:bCs/>
              </w:rPr>
              <w:t>SpLD</w:t>
            </w:r>
            <w:proofErr w:type="spellEnd"/>
            <w:r w:rsidRPr="009B2245">
              <w:rPr>
                <w:rFonts w:ascii="Cambria" w:hAnsi="Cambria"/>
                <w:b/>
                <w:bCs/>
              </w:rPr>
              <w:t xml:space="preserve"> or SEND and plan accordingly in relation to the ETF PS and Minimum Core </w:t>
            </w:r>
          </w:p>
          <w:p w14:paraId="0ECEC6E1" w14:textId="77777777" w:rsidR="009B2245" w:rsidRPr="009B2245" w:rsidRDefault="009B2245" w:rsidP="009B2245">
            <w:pPr>
              <w:spacing w:after="0" w:line="240" w:lineRule="auto"/>
              <w:rPr>
                <w:rFonts w:ascii="Cambria" w:hAnsi="Cambria"/>
                <w:b/>
                <w:bCs/>
              </w:rPr>
            </w:pPr>
            <w:r w:rsidRPr="009B2245">
              <w:rPr>
                <w:rFonts w:ascii="Cambria" w:hAnsi="Cambria"/>
                <w:b/>
                <w:bCs/>
              </w:rPr>
              <w:t xml:space="preserve">2. Think about creating challenge in lessons for those who may be more able and plan extension activities within their planning. </w:t>
            </w:r>
          </w:p>
          <w:p w14:paraId="2DB06E7F" w14:textId="77777777" w:rsidR="009B2245" w:rsidRPr="009B2245" w:rsidRDefault="009B2245" w:rsidP="009B2245">
            <w:pPr>
              <w:spacing w:after="0" w:line="240" w:lineRule="auto"/>
              <w:rPr>
                <w:rFonts w:ascii="Cambria" w:hAnsi="Cambria"/>
                <w:b/>
                <w:bCs/>
              </w:rPr>
            </w:pPr>
            <w:r w:rsidRPr="009B2245">
              <w:rPr>
                <w:rFonts w:ascii="Cambria" w:hAnsi="Cambria"/>
                <w:b/>
                <w:bCs/>
              </w:rPr>
              <w:t>3.Consider the types of questions to pose to learners to illicit deep responses from learners using explicit subject specific terminology and adaptive questioning techniques.</w:t>
            </w:r>
          </w:p>
          <w:p w14:paraId="0479D3A3" w14:textId="36CD2B0F" w:rsidR="009B2245" w:rsidRPr="00225BB8" w:rsidRDefault="009B2245" w:rsidP="009B2245">
            <w:pPr>
              <w:rPr>
                <w:rFonts w:ascii="Cambria" w:hAnsi="Cambria"/>
              </w:rPr>
            </w:pPr>
          </w:p>
          <w:p w14:paraId="3437E904" w14:textId="6539B5D5" w:rsidR="000C5D4D" w:rsidRPr="00225BB8" w:rsidRDefault="000C5D4D" w:rsidP="00170752">
            <w:pPr>
              <w:rPr>
                <w:rFonts w:ascii="Cambria" w:hAnsi="Cambria"/>
              </w:rPr>
            </w:pPr>
          </w:p>
        </w:tc>
        <w:tc>
          <w:tcPr>
            <w:tcW w:w="552" w:type="dxa"/>
            <w:tcBorders>
              <w:top w:val="single" w:sz="4" w:space="0" w:color="auto"/>
              <w:left w:val="single" w:sz="4" w:space="0" w:color="auto"/>
              <w:bottom w:val="single" w:sz="4" w:space="0" w:color="auto"/>
              <w:right w:val="single" w:sz="4" w:space="0" w:color="auto"/>
            </w:tcBorders>
          </w:tcPr>
          <w:p w14:paraId="5FF312F8" w14:textId="4FF7F099" w:rsidR="00733D3D" w:rsidRPr="00523D39" w:rsidRDefault="00733D3D" w:rsidP="00733D3D">
            <w:pPr>
              <w:jc w:val="center"/>
              <w:rPr>
                <w:rFonts w:ascii="Cambria" w:hAnsi="Cambria"/>
                <w:b/>
                <w:bCs/>
                <w:sz w:val="20"/>
                <w:szCs w:val="20"/>
              </w:rPr>
            </w:pPr>
          </w:p>
        </w:tc>
      </w:tr>
      <w:tr w:rsidR="00733D3D" w:rsidRPr="00F07217" w14:paraId="3CEA7B26" w14:textId="77777777" w:rsidTr="009C3E89">
        <w:trPr>
          <w:trHeight w:val="2380"/>
        </w:trPr>
        <w:tc>
          <w:tcPr>
            <w:tcW w:w="1461" w:type="dxa"/>
            <w:tcBorders>
              <w:top w:val="single" w:sz="4" w:space="0" w:color="auto"/>
              <w:left w:val="single" w:sz="4" w:space="0" w:color="auto"/>
              <w:bottom w:val="single" w:sz="4" w:space="0" w:color="auto"/>
              <w:right w:val="single" w:sz="4" w:space="0" w:color="auto"/>
            </w:tcBorders>
          </w:tcPr>
          <w:p w14:paraId="2B69B659" w14:textId="42685D17" w:rsidR="00733D3D" w:rsidRPr="00523D39" w:rsidRDefault="00733D3D" w:rsidP="00733D3D">
            <w:pPr>
              <w:spacing w:line="237" w:lineRule="auto"/>
              <w:jc w:val="center"/>
              <w:rPr>
                <w:rFonts w:ascii="Cambria" w:eastAsia="Georgia" w:hAnsi="Cambria" w:cs="Georgia"/>
                <w:b/>
                <w:sz w:val="20"/>
                <w:szCs w:val="20"/>
              </w:rPr>
            </w:pPr>
            <w:bookmarkStart w:id="1" w:name="_Hlk143779062"/>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745" w:type="dxa"/>
            <w:gridSpan w:val="15"/>
            <w:tcBorders>
              <w:top w:val="single" w:sz="4" w:space="0" w:color="auto"/>
              <w:left w:val="single" w:sz="4" w:space="0" w:color="auto"/>
              <w:bottom w:val="single" w:sz="4" w:space="0" w:color="auto"/>
              <w:right w:val="single" w:sz="4" w:space="0" w:color="auto"/>
            </w:tcBorders>
          </w:tcPr>
          <w:p w14:paraId="2468E639" w14:textId="6C7F5259" w:rsidR="009B2245" w:rsidRPr="009B2245" w:rsidRDefault="009B2245" w:rsidP="009B2245">
            <w:pPr>
              <w:pBdr>
                <w:top w:val="nil"/>
                <w:left w:val="nil"/>
                <w:bottom w:val="nil"/>
                <w:right w:val="nil"/>
                <w:between w:val="nil"/>
              </w:pBdr>
              <w:spacing w:after="0" w:line="240" w:lineRule="auto"/>
              <w:jc w:val="both"/>
              <w:rPr>
                <w:rFonts w:ascii="Cambria" w:hAnsi="Cambria"/>
                <w:b/>
                <w:bCs/>
                <w:color w:val="auto"/>
                <w:sz w:val="20"/>
                <w:szCs w:val="20"/>
              </w:rPr>
            </w:pPr>
            <w:r w:rsidRPr="009B2245">
              <w:rPr>
                <w:rFonts w:ascii="Cambria" w:hAnsi="Cambria"/>
                <w:b/>
                <w:bCs/>
                <w:color w:val="auto"/>
                <w:sz w:val="20"/>
                <w:szCs w:val="20"/>
              </w:rPr>
              <w:t>1.How have you adapted your teaching to meet the needs of SEND learners? How effective has this been?</w:t>
            </w:r>
          </w:p>
          <w:p w14:paraId="2FCBDA67" w14:textId="73E3E67D" w:rsidR="00733D3D" w:rsidRDefault="00733D3D" w:rsidP="00733D3D">
            <w:pPr>
              <w:pBdr>
                <w:top w:val="nil"/>
                <w:left w:val="nil"/>
                <w:bottom w:val="nil"/>
                <w:right w:val="nil"/>
                <w:between w:val="nil"/>
              </w:pBdr>
              <w:jc w:val="both"/>
              <w:rPr>
                <w:rFonts w:ascii="Cambria" w:hAnsi="Cambria"/>
                <w:b/>
                <w:bCs/>
                <w:color w:val="auto"/>
                <w:sz w:val="20"/>
                <w:szCs w:val="20"/>
              </w:rPr>
            </w:pPr>
            <w:r w:rsidRPr="00DD66EA">
              <w:rPr>
                <w:rFonts w:ascii="Cambria" w:hAnsi="Cambria"/>
                <w:b/>
                <w:bCs/>
                <w:color w:val="auto"/>
                <w:sz w:val="20"/>
                <w:szCs w:val="20"/>
                <w:highlight w:val="yellow"/>
                <w:u w:val="single"/>
              </w:rPr>
              <w:t>Mentor summary of trainee response</w:t>
            </w:r>
            <w:r w:rsidRPr="00DD66EA">
              <w:rPr>
                <w:rFonts w:ascii="Cambria" w:hAnsi="Cambria"/>
                <w:b/>
                <w:bCs/>
                <w:color w:val="auto"/>
                <w:sz w:val="20"/>
                <w:szCs w:val="20"/>
                <w:highlight w:val="yellow"/>
              </w:rPr>
              <w:t>:</w:t>
            </w:r>
          </w:p>
          <w:p w14:paraId="38EF856A" w14:textId="77777777" w:rsidR="009B2245" w:rsidRDefault="009B2245" w:rsidP="00733D3D">
            <w:pPr>
              <w:pBdr>
                <w:top w:val="nil"/>
                <w:left w:val="nil"/>
                <w:bottom w:val="nil"/>
                <w:right w:val="nil"/>
                <w:between w:val="nil"/>
              </w:pBdr>
              <w:jc w:val="both"/>
              <w:rPr>
                <w:rFonts w:ascii="Cambria" w:hAnsi="Cambria"/>
                <w:b/>
                <w:bCs/>
                <w:color w:val="auto"/>
                <w:sz w:val="20"/>
                <w:szCs w:val="20"/>
              </w:rPr>
            </w:pPr>
          </w:p>
          <w:p w14:paraId="7D035D61" w14:textId="77777777" w:rsidR="009B2245" w:rsidRPr="00DD66EA" w:rsidRDefault="009B2245" w:rsidP="00733D3D">
            <w:pPr>
              <w:pBdr>
                <w:top w:val="nil"/>
                <w:left w:val="nil"/>
                <w:bottom w:val="nil"/>
                <w:right w:val="nil"/>
                <w:between w:val="nil"/>
              </w:pBdr>
              <w:jc w:val="both"/>
              <w:rPr>
                <w:rFonts w:ascii="Cambria" w:hAnsi="Cambria"/>
                <w:b/>
                <w:bCs/>
                <w:color w:val="auto"/>
                <w:sz w:val="20"/>
                <w:szCs w:val="20"/>
              </w:rPr>
            </w:pPr>
          </w:p>
          <w:p w14:paraId="1D00DC3D" w14:textId="5DBFC753" w:rsidR="007D1339" w:rsidRPr="00DD66EA" w:rsidRDefault="009B2245" w:rsidP="00733D3D">
            <w:pPr>
              <w:pBdr>
                <w:top w:val="nil"/>
                <w:left w:val="nil"/>
                <w:bottom w:val="nil"/>
                <w:right w:val="nil"/>
                <w:between w:val="nil"/>
              </w:pBdr>
              <w:jc w:val="both"/>
              <w:rPr>
                <w:rFonts w:ascii="Cambria" w:hAnsi="Cambria"/>
                <w:b/>
                <w:bCs/>
                <w:color w:val="auto"/>
                <w:sz w:val="20"/>
                <w:szCs w:val="20"/>
              </w:rPr>
            </w:pPr>
            <w:r w:rsidRPr="009B2245">
              <w:rPr>
                <w:rFonts w:ascii="Cambria" w:hAnsi="Cambria"/>
                <w:b/>
                <w:bCs/>
                <w:color w:val="auto"/>
                <w:sz w:val="20"/>
                <w:szCs w:val="20"/>
              </w:rPr>
              <w:t>2.How have you challenged your learners in your lessons this week? Have you considered the questioning within it?  How could you develop this?</w:t>
            </w:r>
          </w:p>
          <w:p w14:paraId="22BB80EE" w14:textId="0911D84E" w:rsidR="00733D3D" w:rsidRDefault="00733D3D" w:rsidP="00733D3D">
            <w:pPr>
              <w:pBdr>
                <w:top w:val="nil"/>
                <w:left w:val="nil"/>
                <w:bottom w:val="nil"/>
                <w:right w:val="nil"/>
                <w:between w:val="nil"/>
              </w:pBdr>
              <w:jc w:val="both"/>
              <w:rPr>
                <w:rFonts w:ascii="Cambria" w:hAnsi="Cambria"/>
                <w:b/>
                <w:bCs/>
                <w:color w:val="auto"/>
                <w:sz w:val="20"/>
                <w:szCs w:val="20"/>
                <w:u w:val="single"/>
              </w:rPr>
            </w:pPr>
            <w:r w:rsidRPr="00DD66EA">
              <w:rPr>
                <w:rFonts w:ascii="Cambria" w:hAnsi="Cambria"/>
                <w:b/>
                <w:bCs/>
                <w:color w:val="auto"/>
                <w:sz w:val="20"/>
                <w:szCs w:val="20"/>
                <w:highlight w:val="yellow"/>
                <w:u w:val="single"/>
              </w:rPr>
              <w:t>Mentor summary of trainee response:</w:t>
            </w:r>
          </w:p>
          <w:p w14:paraId="10A4CC18" w14:textId="77777777" w:rsidR="009B2245" w:rsidRDefault="009B2245" w:rsidP="00733D3D">
            <w:pPr>
              <w:pBdr>
                <w:top w:val="nil"/>
                <w:left w:val="nil"/>
                <w:bottom w:val="nil"/>
                <w:right w:val="nil"/>
                <w:between w:val="nil"/>
              </w:pBdr>
              <w:jc w:val="both"/>
              <w:rPr>
                <w:rFonts w:ascii="Cambria" w:hAnsi="Cambria"/>
                <w:b/>
                <w:bCs/>
                <w:color w:val="auto"/>
                <w:sz w:val="20"/>
                <w:szCs w:val="20"/>
                <w:u w:val="single"/>
              </w:rPr>
            </w:pPr>
          </w:p>
          <w:p w14:paraId="4CAF67AB" w14:textId="77777777" w:rsidR="009B2245" w:rsidRPr="00DD66EA" w:rsidRDefault="009B2245" w:rsidP="00733D3D">
            <w:pPr>
              <w:pBdr>
                <w:top w:val="nil"/>
                <w:left w:val="nil"/>
                <w:bottom w:val="nil"/>
                <w:right w:val="nil"/>
                <w:between w:val="nil"/>
              </w:pBdr>
              <w:jc w:val="both"/>
              <w:rPr>
                <w:rFonts w:ascii="Cambria" w:hAnsi="Cambria"/>
                <w:b/>
                <w:bCs/>
                <w:color w:val="auto"/>
                <w:sz w:val="20"/>
                <w:szCs w:val="20"/>
                <w:u w:val="single"/>
              </w:rPr>
            </w:pPr>
          </w:p>
          <w:p w14:paraId="7BB950B7" w14:textId="09A79EC4" w:rsidR="007D1339" w:rsidRPr="009B2245" w:rsidRDefault="009B2245" w:rsidP="00733D3D">
            <w:pPr>
              <w:pBdr>
                <w:top w:val="nil"/>
                <w:left w:val="nil"/>
                <w:bottom w:val="nil"/>
                <w:right w:val="nil"/>
                <w:between w:val="nil"/>
              </w:pBdr>
              <w:jc w:val="both"/>
              <w:rPr>
                <w:rFonts w:ascii="Cambria" w:hAnsi="Cambria"/>
                <w:b/>
                <w:bCs/>
                <w:color w:val="auto"/>
                <w:sz w:val="20"/>
                <w:szCs w:val="20"/>
              </w:rPr>
            </w:pPr>
            <w:r w:rsidRPr="009B2245">
              <w:rPr>
                <w:rFonts w:ascii="Cambria" w:hAnsi="Cambria"/>
                <w:b/>
                <w:bCs/>
                <w:color w:val="auto"/>
                <w:sz w:val="20"/>
                <w:szCs w:val="20"/>
              </w:rPr>
              <w:t xml:space="preserve">3. </w:t>
            </w:r>
            <w:r w:rsidRPr="009B2245">
              <w:rPr>
                <w:rFonts w:ascii="Cambria" w:hAnsi="Cambria"/>
                <w:b/>
                <w:bCs/>
                <w:color w:val="auto"/>
                <w:sz w:val="20"/>
                <w:szCs w:val="20"/>
              </w:rPr>
              <w:t xml:space="preserve">Thinking about one of your lessons this week reflect on how you adapted your teaching for specific SEND learners or those with </w:t>
            </w:r>
            <w:proofErr w:type="spellStart"/>
            <w:r w:rsidRPr="009B2245">
              <w:rPr>
                <w:rFonts w:ascii="Cambria" w:hAnsi="Cambria"/>
                <w:b/>
                <w:bCs/>
                <w:color w:val="auto"/>
                <w:sz w:val="20"/>
                <w:szCs w:val="20"/>
              </w:rPr>
              <w:t>SpLD</w:t>
            </w:r>
            <w:proofErr w:type="spellEnd"/>
            <w:r w:rsidRPr="009B2245">
              <w:rPr>
                <w:rFonts w:ascii="Cambria" w:hAnsi="Cambria"/>
                <w:b/>
                <w:bCs/>
                <w:color w:val="auto"/>
                <w:sz w:val="20"/>
                <w:szCs w:val="20"/>
              </w:rPr>
              <w:t xml:space="preserve"> or considered EDI and Sustainability?</w:t>
            </w:r>
          </w:p>
          <w:p w14:paraId="2F73181B" w14:textId="1CFC4387" w:rsidR="00733D3D" w:rsidRPr="00DD66EA" w:rsidRDefault="00733D3D" w:rsidP="00733D3D">
            <w:pPr>
              <w:pBdr>
                <w:top w:val="nil"/>
                <w:left w:val="nil"/>
                <w:bottom w:val="nil"/>
                <w:right w:val="nil"/>
                <w:between w:val="nil"/>
              </w:pBdr>
              <w:jc w:val="both"/>
              <w:rPr>
                <w:rFonts w:ascii="Cambria" w:hAnsi="Cambria"/>
                <w:b/>
                <w:bCs/>
                <w:color w:val="auto"/>
                <w:sz w:val="20"/>
                <w:szCs w:val="20"/>
              </w:rPr>
            </w:pPr>
            <w:r w:rsidRPr="00DD66EA">
              <w:rPr>
                <w:rFonts w:ascii="Cambria" w:hAnsi="Cambria"/>
                <w:b/>
                <w:bCs/>
                <w:color w:val="auto"/>
                <w:sz w:val="20"/>
                <w:szCs w:val="20"/>
                <w:highlight w:val="yellow"/>
                <w:u w:val="single"/>
              </w:rPr>
              <w:t>Mentor summary of trainee response</w:t>
            </w:r>
            <w:r w:rsidRPr="00DD66EA">
              <w:rPr>
                <w:rFonts w:ascii="Cambria" w:hAnsi="Cambria"/>
                <w:b/>
                <w:bCs/>
                <w:color w:val="auto"/>
                <w:sz w:val="20"/>
                <w:szCs w:val="20"/>
                <w:highlight w:val="yellow"/>
              </w:rPr>
              <w:t>:</w:t>
            </w:r>
          </w:p>
          <w:p w14:paraId="2979F419" w14:textId="77777777" w:rsidR="00733D3D" w:rsidRPr="00DD66EA" w:rsidRDefault="00733D3D" w:rsidP="00733D3D">
            <w:pPr>
              <w:pBdr>
                <w:top w:val="nil"/>
                <w:left w:val="nil"/>
                <w:bottom w:val="nil"/>
                <w:right w:val="nil"/>
                <w:between w:val="nil"/>
              </w:pBdr>
              <w:jc w:val="both"/>
              <w:rPr>
                <w:rFonts w:ascii="Cambria" w:hAnsi="Cambria"/>
                <w:b/>
                <w:bCs/>
                <w:color w:val="FF0000"/>
                <w:sz w:val="20"/>
                <w:szCs w:val="20"/>
              </w:rPr>
            </w:pPr>
          </w:p>
          <w:p w14:paraId="11852BB5" w14:textId="16F83746" w:rsidR="00733D3D" w:rsidRPr="00523D39" w:rsidRDefault="00733D3D" w:rsidP="00733D3D">
            <w:pPr>
              <w:pBdr>
                <w:top w:val="nil"/>
                <w:left w:val="nil"/>
                <w:bottom w:val="nil"/>
                <w:right w:val="nil"/>
                <w:between w:val="nil"/>
              </w:pBdr>
              <w:jc w:val="both"/>
              <w:rPr>
                <w:rFonts w:ascii="Cambria" w:hAnsi="Cambria"/>
                <w:sz w:val="20"/>
                <w:szCs w:val="20"/>
              </w:rPr>
            </w:pPr>
          </w:p>
        </w:tc>
      </w:tr>
      <w:bookmarkEnd w:id="1"/>
      <w:tr w:rsidR="00733D3D" w:rsidRPr="00F31A2E" w14:paraId="69758A50" w14:textId="77777777" w:rsidTr="009C3E89">
        <w:trPr>
          <w:trHeight w:val="1676"/>
        </w:trPr>
        <w:tc>
          <w:tcPr>
            <w:tcW w:w="1461" w:type="dxa"/>
            <w:tcBorders>
              <w:top w:val="single" w:sz="4" w:space="0" w:color="auto"/>
              <w:left w:val="single" w:sz="4" w:space="0" w:color="auto"/>
              <w:bottom w:val="single" w:sz="4" w:space="0" w:color="auto"/>
              <w:right w:val="single" w:sz="4" w:space="0" w:color="auto"/>
            </w:tcBorders>
          </w:tcPr>
          <w:p w14:paraId="6D3D2A77" w14:textId="77777777"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733D3D" w:rsidRPr="00523D39" w:rsidRDefault="00733D3D" w:rsidP="00733D3D">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2A346587" w14:textId="1629F561"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8A22CD">
              <w:rPr>
                <w:rFonts w:ascii="Cambria" w:hAnsi="Cambria" w:cs="Calibri"/>
                <w:sz w:val="20"/>
                <w:szCs w:val="20"/>
              </w:rPr>
              <w:t>For example, review of subject knowledge, relevant CPD, arrangements for upcoming lesson observation, college/department events etc.</w:t>
            </w:r>
          </w:p>
          <w:p w14:paraId="399FF43D" w14:textId="77777777" w:rsidR="00733D3D" w:rsidRPr="007422DD" w:rsidRDefault="00733D3D" w:rsidP="00733D3D">
            <w:pPr>
              <w:pStyle w:val="xmsolistparagraph"/>
              <w:shd w:val="clear" w:color="auto" w:fill="FFFFFF"/>
              <w:spacing w:before="0" w:beforeAutospacing="0" w:after="0" w:afterAutospacing="0"/>
              <w:rPr>
                <w:rFonts w:ascii="Cambria" w:hAnsi="Cambria" w:cs="Calibri"/>
                <w:color w:val="FF0000"/>
                <w:sz w:val="20"/>
                <w:szCs w:val="20"/>
              </w:rPr>
            </w:pPr>
          </w:p>
          <w:p w14:paraId="033A2A4D" w14:textId="0DDDDDD0" w:rsidR="00733D3D" w:rsidRPr="008A22CD"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4D4EF814" w14:textId="77777777" w:rsidTr="00733D3D">
        <w:trPr>
          <w:trHeight w:val="357"/>
        </w:trPr>
        <w:tc>
          <w:tcPr>
            <w:tcW w:w="1461" w:type="dxa"/>
            <w:vMerge w:val="restart"/>
            <w:tcBorders>
              <w:top w:val="single" w:sz="4" w:space="0" w:color="auto"/>
              <w:left w:val="single" w:sz="4" w:space="0" w:color="auto"/>
              <w:right w:val="single" w:sz="4" w:space="0" w:color="auto"/>
            </w:tcBorders>
          </w:tcPr>
          <w:p w14:paraId="1E3F347B" w14:textId="633E03BE" w:rsidR="00733D3D" w:rsidRPr="00523D39" w:rsidRDefault="00733D3D" w:rsidP="00733D3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Trainee workload and </w:t>
            </w:r>
            <w:r w:rsidRPr="00523D39">
              <w:rPr>
                <w:rFonts w:ascii="Cambria" w:eastAsia="Georgia" w:hAnsi="Cambria" w:cs="Georgia"/>
                <w:b/>
                <w:sz w:val="20"/>
                <w:szCs w:val="20"/>
              </w:rPr>
              <w:lastRenderedPageBreak/>
              <w:t>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469" w:type="dxa"/>
            <w:gridSpan w:val="13"/>
            <w:tcBorders>
              <w:top w:val="single" w:sz="4" w:space="0" w:color="auto"/>
              <w:left w:val="single" w:sz="4" w:space="0" w:color="auto"/>
              <w:bottom w:val="single" w:sz="4" w:space="0" w:color="auto"/>
              <w:right w:val="single" w:sz="4" w:space="0" w:color="auto"/>
            </w:tcBorders>
          </w:tcPr>
          <w:p w14:paraId="1BF3A799" w14:textId="2ED4288C" w:rsidR="00733D3D" w:rsidRPr="008A22CD" w:rsidRDefault="00733D3D" w:rsidP="00733D3D">
            <w:pPr>
              <w:pStyle w:val="xmsolistparagraph"/>
              <w:shd w:val="clear" w:color="auto" w:fill="FFFFFF"/>
              <w:spacing w:before="0" w:beforeAutospacing="0" w:after="0" w:afterAutospacing="0"/>
              <w:ind w:right="-3189"/>
              <w:rPr>
                <w:rFonts w:ascii="Cambria" w:hAnsi="Cambria" w:cs="Calibri"/>
                <w:sz w:val="20"/>
                <w:szCs w:val="20"/>
              </w:rPr>
            </w:pPr>
            <w:r w:rsidRPr="008A22CD">
              <w:rPr>
                <w:rFonts w:ascii="Cambria" w:hAnsi="Cambria"/>
                <w:b/>
                <w:bCs/>
                <w:sz w:val="20"/>
                <w:szCs w:val="20"/>
              </w:rPr>
              <w:lastRenderedPageBreak/>
              <w:t xml:space="preserve">Have strategies for workload been discussed? </w:t>
            </w:r>
          </w:p>
        </w:tc>
        <w:tc>
          <w:tcPr>
            <w:tcW w:w="1276" w:type="dxa"/>
            <w:gridSpan w:val="2"/>
            <w:tcBorders>
              <w:top w:val="single" w:sz="4" w:space="0" w:color="auto"/>
              <w:left w:val="single" w:sz="4" w:space="0" w:color="auto"/>
              <w:bottom w:val="single" w:sz="4" w:space="0" w:color="auto"/>
              <w:right w:val="single" w:sz="4" w:space="0" w:color="auto"/>
            </w:tcBorders>
          </w:tcPr>
          <w:p w14:paraId="79CD1FEE" w14:textId="1C24428D"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F31A2E">
              <w:rPr>
                <w:rFonts w:ascii="Cambria" w:hAnsi="Cambria"/>
                <w:b/>
                <w:bCs/>
                <w:sz w:val="20"/>
                <w:szCs w:val="20"/>
              </w:rPr>
              <w:t>Y/</w:t>
            </w:r>
            <w:r w:rsidRPr="008A22CD">
              <w:rPr>
                <w:rFonts w:ascii="Cambria" w:hAnsi="Cambria"/>
                <w:b/>
                <w:bCs/>
                <w:sz w:val="20"/>
                <w:szCs w:val="20"/>
              </w:rPr>
              <w:t>N</w:t>
            </w:r>
          </w:p>
        </w:tc>
      </w:tr>
      <w:tr w:rsidR="00733D3D" w:rsidRPr="00F07217" w14:paraId="3DB20099" w14:textId="77777777" w:rsidTr="009C3E89">
        <w:trPr>
          <w:trHeight w:val="356"/>
        </w:trPr>
        <w:tc>
          <w:tcPr>
            <w:tcW w:w="1461" w:type="dxa"/>
            <w:vMerge/>
            <w:tcBorders>
              <w:left w:val="single" w:sz="4" w:space="0" w:color="auto"/>
              <w:right w:val="single" w:sz="4" w:space="0" w:color="auto"/>
            </w:tcBorders>
          </w:tcPr>
          <w:p w14:paraId="6123FA02" w14:textId="77777777"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16476932" w14:textId="77777777" w:rsidR="00733D3D" w:rsidRPr="008A22CD" w:rsidRDefault="00733D3D" w:rsidP="00733D3D">
            <w:pPr>
              <w:pStyle w:val="xmsolistparagraph"/>
              <w:shd w:val="clear" w:color="auto" w:fill="FFFFFF"/>
              <w:spacing w:before="0" w:beforeAutospacing="0" w:after="0" w:afterAutospacing="0"/>
              <w:rPr>
                <w:rFonts w:ascii="Cambria" w:eastAsia="Calibri" w:hAnsi="Cambria" w:cs="Calibri"/>
                <w:sz w:val="20"/>
                <w:szCs w:val="20"/>
              </w:rPr>
            </w:pPr>
            <w:r w:rsidRPr="008A22CD">
              <w:rPr>
                <w:rFonts w:ascii="Cambria" w:eastAsia="Calibri" w:hAnsi="Cambria" w:cs="Calibri"/>
                <w:sz w:val="20"/>
                <w:szCs w:val="20"/>
              </w:rPr>
              <w:t>Actions or follow up (if needed)</w:t>
            </w:r>
          </w:p>
          <w:p w14:paraId="3C3AFABD" w14:textId="4C9B6759"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p>
        </w:tc>
      </w:tr>
      <w:tr w:rsidR="00733D3D" w:rsidRPr="008A22CD" w14:paraId="3953F9DA" w14:textId="77777777" w:rsidTr="00733D3D">
        <w:trPr>
          <w:trHeight w:val="356"/>
        </w:trPr>
        <w:tc>
          <w:tcPr>
            <w:tcW w:w="1461" w:type="dxa"/>
            <w:vMerge/>
            <w:tcBorders>
              <w:left w:val="single" w:sz="4" w:space="0" w:color="auto"/>
              <w:right w:val="single" w:sz="4" w:space="0" w:color="auto"/>
            </w:tcBorders>
          </w:tcPr>
          <w:p w14:paraId="70CDC28C" w14:textId="77777777" w:rsidR="00733D3D" w:rsidRPr="00523D39" w:rsidRDefault="00733D3D" w:rsidP="00733D3D">
            <w:pPr>
              <w:spacing w:line="237" w:lineRule="auto"/>
              <w:jc w:val="center"/>
              <w:rPr>
                <w:rFonts w:ascii="Cambria" w:eastAsia="Georgia" w:hAnsi="Cambria" w:cs="Georgia"/>
                <w:b/>
                <w:sz w:val="20"/>
                <w:szCs w:val="20"/>
              </w:rPr>
            </w:pPr>
          </w:p>
        </w:tc>
        <w:tc>
          <w:tcPr>
            <w:tcW w:w="8469" w:type="dxa"/>
            <w:gridSpan w:val="13"/>
            <w:tcBorders>
              <w:top w:val="single" w:sz="4" w:space="0" w:color="auto"/>
              <w:left w:val="single" w:sz="4" w:space="0" w:color="auto"/>
              <w:bottom w:val="single" w:sz="4" w:space="0" w:color="auto"/>
              <w:right w:val="single" w:sz="4" w:space="0" w:color="auto"/>
            </w:tcBorders>
          </w:tcPr>
          <w:p w14:paraId="67A27CD1" w14:textId="19602094"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8A22CD">
              <w:rPr>
                <w:rFonts w:ascii="Cambria" w:eastAsia="Calibri" w:hAnsi="Cambria" w:cs="Calibri"/>
                <w:b/>
                <w:bCs/>
                <w:sz w:val="20"/>
                <w:szCs w:val="20"/>
              </w:rPr>
              <w:t>Has the trainee’s wellbeing been discussed?</w:t>
            </w:r>
          </w:p>
        </w:tc>
        <w:tc>
          <w:tcPr>
            <w:tcW w:w="1269" w:type="dxa"/>
            <w:gridSpan w:val="2"/>
            <w:tcBorders>
              <w:top w:val="single" w:sz="4" w:space="0" w:color="auto"/>
              <w:left w:val="single" w:sz="4" w:space="0" w:color="auto"/>
              <w:bottom w:val="single" w:sz="4" w:space="0" w:color="auto"/>
              <w:right w:val="single" w:sz="4" w:space="0" w:color="auto"/>
            </w:tcBorders>
          </w:tcPr>
          <w:p w14:paraId="20AD7451" w14:textId="17CE8C55"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r w:rsidRPr="00F31A2E">
              <w:rPr>
                <w:rFonts w:ascii="Cambria" w:hAnsi="Cambria"/>
                <w:b/>
                <w:bCs/>
                <w:sz w:val="20"/>
                <w:szCs w:val="20"/>
              </w:rPr>
              <w:t>Y/N</w:t>
            </w:r>
          </w:p>
        </w:tc>
      </w:tr>
      <w:tr w:rsidR="00733D3D" w:rsidRPr="00F07217" w14:paraId="030E3747" w14:textId="77777777" w:rsidTr="009C3E89">
        <w:trPr>
          <w:trHeight w:val="356"/>
        </w:trPr>
        <w:tc>
          <w:tcPr>
            <w:tcW w:w="1461" w:type="dxa"/>
            <w:vMerge/>
            <w:tcBorders>
              <w:left w:val="single" w:sz="4" w:space="0" w:color="auto"/>
              <w:right w:val="single" w:sz="4" w:space="0" w:color="auto"/>
            </w:tcBorders>
          </w:tcPr>
          <w:p w14:paraId="65A50366" w14:textId="77777777" w:rsidR="00733D3D" w:rsidRPr="00523D39" w:rsidRDefault="00733D3D" w:rsidP="00733D3D">
            <w:pPr>
              <w:spacing w:line="237" w:lineRule="auto"/>
              <w:jc w:val="center"/>
              <w:rPr>
                <w:rFonts w:ascii="Cambria" w:eastAsia="Georgia" w:hAnsi="Cambria" w:cs="Georgia"/>
                <w:b/>
                <w:sz w:val="20"/>
                <w:szCs w:val="20"/>
              </w:rPr>
            </w:pPr>
          </w:p>
        </w:tc>
        <w:tc>
          <w:tcPr>
            <w:tcW w:w="9745" w:type="dxa"/>
            <w:gridSpan w:val="15"/>
            <w:tcBorders>
              <w:top w:val="single" w:sz="4" w:space="0" w:color="auto"/>
              <w:left w:val="single" w:sz="4" w:space="0" w:color="auto"/>
              <w:bottom w:val="single" w:sz="4" w:space="0" w:color="auto"/>
              <w:right w:val="single" w:sz="4" w:space="0" w:color="auto"/>
            </w:tcBorders>
          </w:tcPr>
          <w:p w14:paraId="298BEA06" w14:textId="77777777" w:rsidR="00733D3D" w:rsidRPr="008A22CD" w:rsidRDefault="00733D3D" w:rsidP="00733D3D">
            <w:pPr>
              <w:pStyle w:val="xmsolistparagraph"/>
              <w:shd w:val="clear" w:color="auto" w:fill="FFFFFF"/>
              <w:spacing w:before="0" w:beforeAutospacing="0" w:after="0" w:afterAutospacing="0"/>
              <w:rPr>
                <w:rFonts w:ascii="Cambria" w:eastAsia="Calibri" w:hAnsi="Cambria" w:cs="Calibri"/>
                <w:sz w:val="20"/>
                <w:szCs w:val="20"/>
              </w:rPr>
            </w:pPr>
            <w:r w:rsidRPr="008A22CD">
              <w:rPr>
                <w:rFonts w:ascii="Cambria" w:eastAsia="Calibri" w:hAnsi="Cambria" w:cs="Calibri"/>
                <w:sz w:val="20"/>
                <w:szCs w:val="20"/>
              </w:rPr>
              <w:t>Actions or follow up (if needed)</w:t>
            </w:r>
          </w:p>
          <w:p w14:paraId="06804CC8" w14:textId="779DAD5F" w:rsidR="00733D3D" w:rsidRPr="008A22CD" w:rsidRDefault="00733D3D" w:rsidP="00733D3D">
            <w:pPr>
              <w:pStyle w:val="xmsolistparagraph"/>
              <w:shd w:val="clear" w:color="auto" w:fill="FFFFFF"/>
              <w:spacing w:before="0" w:beforeAutospacing="0" w:after="0" w:afterAutospacing="0"/>
              <w:rPr>
                <w:rFonts w:ascii="Cambria" w:hAnsi="Cambria" w:cs="Calibri"/>
                <w:sz w:val="20"/>
                <w:szCs w:val="20"/>
              </w:rPr>
            </w:pPr>
          </w:p>
        </w:tc>
      </w:tr>
      <w:tr w:rsidR="00733D3D" w:rsidRPr="00F31A2E" w14:paraId="1EFF03BD" w14:textId="77777777" w:rsidTr="00733D3D">
        <w:trPr>
          <w:trHeight w:val="301"/>
        </w:trPr>
        <w:tc>
          <w:tcPr>
            <w:tcW w:w="1461" w:type="dxa"/>
            <w:vMerge w:val="restart"/>
            <w:tcBorders>
              <w:top w:val="single" w:sz="4" w:space="0" w:color="auto"/>
              <w:left w:val="single" w:sz="4" w:space="0" w:color="auto"/>
              <w:right w:val="single" w:sz="4" w:space="0" w:color="auto"/>
            </w:tcBorders>
          </w:tcPr>
          <w:p w14:paraId="78D25B1F" w14:textId="6EA1D7F1" w:rsidR="00733D3D" w:rsidRPr="00523D39" w:rsidRDefault="00733D3D" w:rsidP="00733D3D">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6341"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733D3D" w:rsidRPr="00523D39" w:rsidRDefault="00733D3D" w:rsidP="00733D3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3404"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733D3D" w:rsidRPr="00523D39" w:rsidRDefault="00733D3D" w:rsidP="00733D3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733D3D" w:rsidRPr="00F07217" w14:paraId="19ADFC6E" w14:textId="77777777" w:rsidTr="00733D3D">
        <w:trPr>
          <w:trHeight w:val="301"/>
        </w:trPr>
        <w:tc>
          <w:tcPr>
            <w:tcW w:w="1461" w:type="dxa"/>
            <w:vMerge/>
            <w:tcBorders>
              <w:left w:val="single" w:sz="4" w:space="0" w:color="auto"/>
              <w:right w:val="single" w:sz="4" w:space="0" w:color="auto"/>
            </w:tcBorders>
          </w:tcPr>
          <w:p w14:paraId="317BB4BF"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4B7A6363" w14:textId="13933049" w:rsidR="00733D3D" w:rsidRPr="002861D5"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71D1D38F" w14:textId="1FF08F74" w:rsidR="00733D3D" w:rsidRPr="002861D5" w:rsidRDefault="00733D3D" w:rsidP="00733D3D">
            <w:pPr>
              <w:pStyle w:val="xmsolistparagraph"/>
              <w:shd w:val="clear" w:color="auto" w:fill="FFFFFF"/>
              <w:spacing w:before="0" w:beforeAutospacing="0" w:after="0" w:afterAutospacing="0"/>
              <w:rPr>
                <w:rFonts w:ascii="Cambria" w:hAnsi="Cambria" w:cstheme="minorHAnsi"/>
                <w:b/>
                <w:bCs/>
                <w:sz w:val="20"/>
                <w:szCs w:val="20"/>
              </w:rPr>
            </w:pPr>
          </w:p>
        </w:tc>
      </w:tr>
      <w:tr w:rsidR="00733D3D" w:rsidRPr="00F07217" w14:paraId="48262457" w14:textId="77777777" w:rsidTr="00733D3D">
        <w:trPr>
          <w:trHeight w:val="301"/>
        </w:trPr>
        <w:tc>
          <w:tcPr>
            <w:tcW w:w="1461" w:type="dxa"/>
            <w:vMerge/>
            <w:tcBorders>
              <w:left w:val="single" w:sz="4" w:space="0" w:color="auto"/>
              <w:right w:val="single" w:sz="4" w:space="0" w:color="auto"/>
            </w:tcBorders>
          </w:tcPr>
          <w:p w14:paraId="42B9B598"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20ABC3DA" w14:textId="10B00B15" w:rsidR="00733D3D" w:rsidRPr="00523D39"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69785372" w14:textId="6ABC1DF8" w:rsidR="00733D3D" w:rsidRPr="002861D5"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4FEC5910" w14:textId="77777777" w:rsidTr="00733D3D">
        <w:trPr>
          <w:trHeight w:val="301"/>
        </w:trPr>
        <w:tc>
          <w:tcPr>
            <w:tcW w:w="1461" w:type="dxa"/>
            <w:vMerge/>
            <w:tcBorders>
              <w:left w:val="single" w:sz="4" w:space="0" w:color="auto"/>
              <w:bottom w:val="single" w:sz="4" w:space="0" w:color="auto"/>
              <w:right w:val="single" w:sz="4" w:space="0" w:color="auto"/>
            </w:tcBorders>
          </w:tcPr>
          <w:p w14:paraId="7A4CF4F8" w14:textId="77777777" w:rsidR="00733D3D" w:rsidRPr="00523D39" w:rsidRDefault="00733D3D" w:rsidP="00733D3D">
            <w:pPr>
              <w:spacing w:line="237" w:lineRule="auto"/>
              <w:jc w:val="center"/>
              <w:rPr>
                <w:rFonts w:ascii="Cambria" w:hAnsi="Cambria"/>
                <w:noProof/>
                <w:sz w:val="20"/>
                <w:szCs w:val="20"/>
              </w:rPr>
            </w:pPr>
          </w:p>
        </w:tc>
        <w:tc>
          <w:tcPr>
            <w:tcW w:w="6341" w:type="dxa"/>
            <w:gridSpan w:val="10"/>
            <w:tcBorders>
              <w:top w:val="single" w:sz="4" w:space="0" w:color="auto"/>
              <w:left w:val="single" w:sz="4" w:space="0" w:color="auto"/>
              <w:bottom w:val="single" w:sz="4" w:space="0" w:color="auto"/>
              <w:right w:val="single" w:sz="4" w:space="0" w:color="auto"/>
            </w:tcBorders>
          </w:tcPr>
          <w:p w14:paraId="55CCE2C3" w14:textId="125D4A1A" w:rsidR="00733D3D" w:rsidRPr="00523D39" w:rsidRDefault="00733D3D" w:rsidP="00733D3D">
            <w:pPr>
              <w:pStyle w:val="xmsolistparagraph"/>
              <w:numPr>
                <w:ilvl w:val="0"/>
                <w:numId w:val="7"/>
              </w:numPr>
              <w:shd w:val="clear" w:color="auto" w:fill="FFFFFF"/>
              <w:spacing w:before="0" w:beforeAutospacing="0" w:after="0" w:afterAutospacing="0"/>
              <w:rPr>
                <w:rFonts w:ascii="Cambria" w:hAnsi="Cambria" w:cs="Calibri"/>
                <w:b/>
                <w:bCs/>
                <w:color w:val="201F1E"/>
                <w:sz w:val="20"/>
                <w:szCs w:val="20"/>
              </w:rPr>
            </w:pPr>
          </w:p>
        </w:tc>
        <w:tc>
          <w:tcPr>
            <w:tcW w:w="3404" w:type="dxa"/>
            <w:gridSpan w:val="5"/>
            <w:tcBorders>
              <w:top w:val="single" w:sz="4" w:space="0" w:color="auto"/>
              <w:left w:val="single" w:sz="4" w:space="0" w:color="auto"/>
              <w:bottom w:val="single" w:sz="4" w:space="0" w:color="auto"/>
              <w:right w:val="single" w:sz="4" w:space="0" w:color="auto"/>
            </w:tcBorders>
          </w:tcPr>
          <w:p w14:paraId="755EC65A" w14:textId="4CA5DEB3" w:rsidR="00733D3D" w:rsidRPr="002861D5" w:rsidRDefault="00733D3D" w:rsidP="00733D3D">
            <w:pPr>
              <w:pStyle w:val="xmsolistparagraph"/>
              <w:shd w:val="clear" w:color="auto" w:fill="FFFFFF"/>
              <w:spacing w:before="0" w:beforeAutospacing="0" w:after="0" w:afterAutospacing="0"/>
              <w:rPr>
                <w:rFonts w:ascii="Cambria" w:hAnsi="Cambria" w:cs="Calibri"/>
                <w:b/>
                <w:bCs/>
                <w:sz w:val="20"/>
                <w:szCs w:val="20"/>
              </w:rPr>
            </w:pPr>
          </w:p>
        </w:tc>
      </w:tr>
      <w:tr w:rsidR="00733D3D" w:rsidRPr="00F07217" w14:paraId="3CBB1465" w14:textId="77777777" w:rsidTr="00615C5F">
        <w:trPr>
          <w:trHeight w:val="413"/>
        </w:trPr>
        <w:tc>
          <w:tcPr>
            <w:tcW w:w="11206" w:type="dxa"/>
            <w:gridSpan w:val="16"/>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733D3D" w:rsidRPr="00F83C7A" w:rsidRDefault="00733D3D" w:rsidP="00733D3D">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0910252" w:rsidR="00733D3D" w:rsidRPr="00F83C7A" w:rsidRDefault="00000000" w:rsidP="00733D3D">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3D046C">
                  <w:rPr>
                    <w:rFonts w:ascii="MS Gothic" w:eastAsia="MS Gothic" w:hAnsi="MS Gothic" w:cs="Arial" w:hint="eastAsia"/>
                    <w:b/>
                    <w:bCs/>
                    <w:sz w:val="20"/>
                    <w:szCs w:val="20"/>
                  </w:rPr>
                  <w:t>☐</w:t>
                </w:r>
              </w:sdtContent>
            </w:sdt>
            <w:r w:rsidR="00733D3D" w:rsidRPr="00F83C7A">
              <w:rPr>
                <w:rFonts w:ascii="Cambria" w:hAnsi="Cambria" w:cs="Arial"/>
                <w:b/>
                <w:bCs/>
                <w:sz w:val="20"/>
                <w:szCs w:val="20"/>
              </w:rPr>
              <w:t xml:space="preserve">  Yes, trainee is making sufficient progress through the curriculum.</w:t>
            </w:r>
          </w:p>
          <w:p w14:paraId="015224A5" w14:textId="60008F38" w:rsidR="00733D3D" w:rsidRPr="00F83C7A" w:rsidRDefault="00000000" w:rsidP="00733D3D">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733D3D" w:rsidRPr="00F83C7A">
                  <w:rPr>
                    <w:rFonts w:ascii="Segoe UI Symbol" w:eastAsia="MS Gothic" w:hAnsi="Segoe UI Symbol" w:cs="Segoe UI Symbol"/>
                    <w:b/>
                    <w:bCs/>
                    <w:sz w:val="20"/>
                    <w:szCs w:val="20"/>
                  </w:rPr>
                  <w:t>☐</w:t>
                </w:r>
              </w:sdtContent>
            </w:sdt>
            <w:r w:rsidR="00733D3D" w:rsidRPr="00F83C7A">
              <w:rPr>
                <w:rFonts w:ascii="Cambria" w:hAnsi="Cambria" w:cs="Arial"/>
                <w:b/>
                <w:bCs/>
                <w:sz w:val="20"/>
                <w:szCs w:val="20"/>
              </w:rPr>
              <w:t xml:space="preserve">  Yes, trainee is making sufficient progress through the curriculum, but this has required additional support </w:t>
            </w:r>
            <w:r w:rsidR="00733D3D" w:rsidRPr="00F83C7A">
              <w:rPr>
                <w:rFonts w:ascii="Cambria" w:hAnsi="Cambria" w:cs="Arial"/>
                <w:b/>
                <w:bCs/>
                <w:sz w:val="14"/>
                <w:szCs w:val="14"/>
              </w:rPr>
              <w:t>(please list the additional support provided below. For example, a reduction in teaching load, additional meetings, use of team-teaching etc</w:t>
            </w:r>
            <w:r w:rsidR="00733D3D" w:rsidRPr="00F83C7A">
              <w:rPr>
                <w:rFonts w:ascii="Cambria" w:hAnsi="Cambria" w:cs="Arial"/>
                <w:b/>
                <w:bCs/>
                <w:sz w:val="20"/>
                <w:szCs w:val="20"/>
              </w:rPr>
              <w:t>)</w:t>
            </w:r>
            <w:r w:rsidR="00733D3D">
              <w:rPr>
                <w:rFonts w:ascii="Cambria" w:hAnsi="Cambria" w:cs="Arial"/>
                <w:b/>
                <w:bCs/>
                <w:sz w:val="20"/>
                <w:szCs w:val="20"/>
              </w:rPr>
              <w:t>.</w:t>
            </w:r>
          </w:p>
          <w:p w14:paraId="2DBD45D4" w14:textId="77777777" w:rsidR="00733D3D" w:rsidRPr="00F83C7A" w:rsidRDefault="00733D3D" w:rsidP="00733D3D">
            <w:pPr>
              <w:rPr>
                <w:rFonts w:ascii="Cambria" w:hAnsi="Cambria" w:cs="Arial"/>
                <w:b/>
                <w:bCs/>
                <w:sz w:val="20"/>
                <w:szCs w:val="20"/>
              </w:rPr>
            </w:pPr>
          </w:p>
          <w:p w14:paraId="24E9E9CD" w14:textId="13DABC56" w:rsidR="00733D3D" w:rsidRPr="00F07217" w:rsidRDefault="00000000" w:rsidP="00733D3D">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733D3D" w:rsidRPr="00F83C7A">
                  <w:rPr>
                    <w:rFonts w:ascii="Segoe UI Symbol" w:eastAsia="MS Gothic" w:hAnsi="Segoe UI Symbol" w:cs="Segoe UI Symbol"/>
                    <w:b/>
                    <w:bCs/>
                    <w:sz w:val="20"/>
                    <w:szCs w:val="20"/>
                  </w:rPr>
                  <w:t>☐</w:t>
                </w:r>
              </w:sdtContent>
            </w:sdt>
            <w:r w:rsidR="00733D3D"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733D3D" w:rsidRPr="00F07217">
              <w:rPr>
                <w:rFonts w:ascii="Georgia" w:hAnsi="Georgia" w:cs="Arial"/>
                <w:b/>
                <w:bCs/>
                <w:sz w:val="24"/>
                <w:szCs w:val="24"/>
              </w:rPr>
              <w:t xml:space="preserve"> </w:t>
            </w:r>
          </w:p>
        </w:tc>
      </w:tr>
      <w:bookmarkEnd w:id="0"/>
    </w:tbl>
    <w:p w14:paraId="1FF584B5" w14:textId="77777777" w:rsidR="000C0420" w:rsidRPr="00615C5F" w:rsidRDefault="000C0420">
      <w:pPr>
        <w:spacing w:after="0"/>
        <w:rPr>
          <w:sz w:val="16"/>
          <w:szCs w:val="16"/>
        </w:rPr>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4DD6A236"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3E19D9C5" w:rsidR="005C4DE7" w:rsidRPr="00F31A2E" w:rsidRDefault="005C4DE7" w:rsidP="00F31A2E">
            <w:pPr>
              <w:spacing w:after="0" w:line="240" w:lineRule="auto"/>
              <w:rPr>
                <w:rFonts w:ascii="Cambria" w:hAnsi="Cambria" w:cs="Arial"/>
                <w:bCs/>
              </w:rPr>
            </w:pP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81840" w14:textId="77777777" w:rsidR="00087C8B" w:rsidRDefault="00087C8B" w:rsidP="00BB0205">
      <w:pPr>
        <w:spacing w:after="0" w:line="240" w:lineRule="auto"/>
      </w:pPr>
      <w:r>
        <w:separator/>
      </w:r>
    </w:p>
  </w:endnote>
  <w:endnote w:type="continuationSeparator" w:id="0">
    <w:p w14:paraId="4E2AFC5E" w14:textId="77777777" w:rsidR="00087C8B" w:rsidRDefault="00087C8B"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34DE" w14:textId="77777777" w:rsidR="002861D5" w:rsidRDefault="00286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CE17" w14:textId="77777777" w:rsidR="002861D5" w:rsidRDefault="00286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B07C" w14:textId="77777777" w:rsidR="00087C8B" w:rsidRDefault="00087C8B" w:rsidP="00BB0205">
      <w:pPr>
        <w:spacing w:after="0" w:line="240" w:lineRule="auto"/>
      </w:pPr>
      <w:r>
        <w:separator/>
      </w:r>
    </w:p>
  </w:footnote>
  <w:footnote w:type="continuationSeparator" w:id="0">
    <w:p w14:paraId="6BE3B5AB" w14:textId="77777777" w:rsidR="00087C8B" w:rsidRDefault="00087C8B"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4CF9" w14:textId="65A36B11" w:rsidR="002861D5" w:rsidRDefault="00286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494F5B1E"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DF83" w14:textId="4DA247A5" w:rsidR="002861D5" w:rsidRDefault="00286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3FD2"/>
    <w:multiLevelType w:val="hybridMultilevel"/>
    <w:tmpl w:val="A4943A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5FBB"/>
    <w:multiLevelType w:val="hybridMultilevel"/>
    <w:tmpl w:val="A0DA6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538C2"/>
    <w:multiLevelType w:val="hybridMultilevel"/>
    <w:tmpl w:val="9D02E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50D4B"/>
    <w:multiLevelType w:val="hybridMultilevel"/>
    <w:tmpl w:val="F06C1D08"/>
    <w:lvl w:ilvl="0" w:tplc="0C0445B0">
      <w:start w:val="1"/>
      <w:numFmt w:val="decimal"/>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FF7BB5"/>
    <w:multiLevelType w:val="hybridMultilevel"/>
    <w:tmpl w:val="C7EA1A40"/>
    <w:lvl w:ilvl="0" w:tplc="1A6CF1FA">
      <w:start w:val="1"/>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355375CA"/>
    <w:multiLevelType w:val="hybridMultilevel"/>
    <w:tmpl w:val="38DA5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4647DE"/>
    <w:multiLevelType w:val="hybridMultilevel"/>
    <w:tmpl w:val="9814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28C1126"/>
    <w:multiLevelType w:val="hybridMultilevel"/>
    <w:tmpl w:val="E20C63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165483"/>
    <w:multiLevelType w:val="hybridMultilevel"/>
    <w:tmpl w:val="91E4444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982005">
    <w:abstractNumId w:val="11"/>
  </w:num>
  <w:num w:numId="2" w16cid:durableId="745959156">
    <w:abstractNumId w:val="9"/>
  </w:num>
  <w:num w:numId="3" w16cid:durableId="365060952">
    <w:abstractNumId w:val="5"/>
  </w:num>
  <w:num w:numId="4" w16cid:durableId="970749666">
    <w:abstractNumId w:val="2"/>
  </w:num>
  <w:num w:numId="5" w16cid:durableId="1139807031">
    <w:abstractNumId w:val="0"/>
  </w:num>
  <w:num w:numId="6" w16cid:durableId="442114550">
    <w:abstractNumId w:val="6"/>
  </w:num>
  <w:num w:numId="7" w16cid:durableId="1001467791">
    <w:abstractNumId w:val="1"/>
  </w:num>
  <w:num w:numId="8" w16cid:durableId="1527984662">
    <w:abstractNumId w:val="8"/>
  </w:num>
  <w:num w:numId="9" w16cid:durableId="1773435627">
    <w:abstractNumId w:val="4"/>
  </w:num>
  <w:num w:numId="10" w16cid:durableId="1947300297">
    <w:abstractNumId w:val="10"/>
  </w:num>
  <w:num w:numId="11" w16cid:durableId="496385553">
    <w:abstractNumId w:val="12"/>
  </w:num>
  <w:num w:numId="12" w16cid:durableId="2064060678">
    <w:abstractNumId w:val="3"/>
  </w:num>
  <w:num w:numId="13" w16cid:durableId="99021189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87C8B"/>
    <w:rsid w:val="000A4500"/>
    <w:rsid w:val="000C0420"/>
    <w:rsid w:val="000C5D4D"/>
    <w:rsid w:val="000D2747"/>
    <w:rsid w:val="000D5631"/>
    <w:rsid w:val="000D6922"/>
    <w:rsid w:val="000F7F57"/>
    <w:rsid w:val="00132F3C"/>
    <w:rsid w:val="001436B1"/>
    <w:rsid w:val="001506CA"/>
    <w:rsid w:val="00164C19"/>
    <w:rsid w:val="00166757"/>
    <w:rsid w:val="00170752"/>
    <w:rsid w:val="00187942"/>
    <w:rsid w:val="00193244"/>
    <w:rsid w:val="001A090B"/>
    <w:rsid w:val="001B0667"/>
    <w:rsid w:val="001B46A9"/>
    <w:rsid w:val="001B5C6F"/>
    <w:rsid w:val="001B5DFB"/>
    <w:rsid w:val="001D6BD6"/>
    <w:rsid w:val="001E2011"/>
    <w:rsid w:val="001E5B59"/>
    <w:rsid w:val="001F2CB3"/>
    <w:rsid w:val="001F2DAA"/>
    <w:rsid w:val="0020392C"/>
    <w:rsid w:val="00203B1D"/>
    <w:rsid w:val="002077E7"/>
    <w:rsid w:val="002176C6"/>
    <w:rsid w:val="00225BB8"/>
    <w:rsid w:val="002402B7"/>
    <w:rsid w:val="00244BD5"/>
    <w:rsid w:val="00257C5E"/>
    <w:rsid w:val="00264480"/>
    <w:rsid w:val="00267F20"/>
    <w:rsid w:val="00275428"/>
    <w:rsid w:val="00275519"/>
    <w:rsid w:val="00284E41"/>
    <w:rsid w:val="002861D5"/>
    <w:rsid w:val="002909D3"/>
    <w:rsid w:val="002945B0"/>
    <w:rsid w:val="002D6840"/>
    <w:rsid w:val="002D71BC"/>
    <w:rsid w:val="002F0646"/>
    <w:rsid w:val="003047BE"/>
    <w:rsid w:val="003324D5"/>
    <w:rsid w:val="00341E44"/>
    <w:rsid w:val="003433DA"/>
    <w:rsid w:val="003558A2"/>
    <w:rsid w:val="00360B99"/>
    <w:rsid w:val="00360FDF"/>
    <w:rsid w:val="00362E65"/>
    <w:rsid w:val="0036642F"/>
    <w:rsid w:val="00387F4F"/>
    <w:rsid w:val="00393C9C"/>
    <w:rsid w:val="003C0614"/>
    <w:rsid w:val="003C1D2B"/>
    <w:rsid w:val="003D046C"/>
    <w:rsid w:val="003E7131"/>
    <w:rsid w:val="003F297E"/>
    <w:rsid w:val="004009A7"/>
    <w:rsid w:val="00402356"/>
    <w:rsid w:val="00403E3F"/>
    <w:rsid w:val="00446426"/>
    <w:rsid w:val="00460454"/>
    <w:rsid w:val="00464034"/>
    <w:rsid w:val="00470596"/>
    <w:rsid w:val="00481D47"/>
    <w:rsid w:val="00485777"/>
    <w:rsid w:val="004933A3"/>
    <w:rsid w:val="004A0E13"/>
    <w:rsid w:val="004C3CDB"/>
    <w:rsid w:val="004F5A59"/>
    <w:rsid w:val="005031C0"/>
    <w:rsid w:val="005061DF"/>
    <w:rsid w:val="005113AE"/>
    <w:rsid w:val="005120DA"/>
    <w:rsid w:val="00523D39"/>
    <w:rsid w:val="00532449"/>
    <w:rsid w:val="00537E6B"/>
    <w:rsid w:val="00542102"/>
    <w:rsid w:val="005502E1"/>
    <w:rsid w:val="005511A4"/>
    <w:rsid w:val="005532B5"/>
    <w:rsid w:val="00553CE4"/>
    <w:rsid w:val="00554743"/>
    <w:rsid w:val="00556F37"/>
    <w:rsid w:val="0056023C"/>
    <w:rsid w:val="00560FE2"/>
    <w:rsid w:val="0057496A"/>
    <w:rsid w:val="005775AE"/>
    <w:rsid w:val="00580D88"/>
    <w:rsid w:val="00586ACC"/>
    <w:rsid w:val="005A6715"/>
    <w:rsid w:val="005B4FD8"/>
    <w:rsid w:val="005C4629"/>
    <w:rsid w:val="005C4DE7"/>
    <w:rsid w:val="005E244C"/>
    <w:rsid w:val="005E2543"/>
    <w:rsid w:val="005F3947"/>
    <w:rsid w:val="005F5A1C"/>
    <w:rsid w:val="00606867"/>
    <w:rsid w:val="006102D0"/>
    <w:rsid w:val="006112AB"/>
    <w:rsid w:val="006135EC"/>
    <w:rsid w:val="00615C5F"/>
    <w:rsid w:val="00624699"/>
    <w:rsid w:val="00631D4B"/>
    <w:rsid w:val="00637553"/>
    <w:rsid w:val="00645D9A"/>
    <w:rsid w:val="006466C4"/>
    <w:rsid w:val="0064731C"/>
    <w:rsid w:val="00650A8F"/>
    <w:rsid w:val="00663D4E"/>
    <w:rsid w:val="00681F90"/>
    <w:rsid w:val="00690414"/>
    <w:rsid w:val="00690AD3"/>
    <w:rsid w:val="00690DB7"/>
    <w:rsid w:val="006928B6"/>
    <w:rsid w:val="006A2DCB"/>
    <w:rsid w:val="006A777B"/>
    <w:rsid w:val="006B15D7"/>
    <w:rsid w:val="006B4CC4"/>
    <w:rsid w:val="006C0609"/>
    <w:rsid w:val="006D52FD"/>
    <w:rsid w:val="006E789E"/>
    <w:rsid w:val="00703A42"/>
    <w:rsid w:val="007052C0"/>
    <w:rsid w:val="0071620C"/>
    <w:rsid w:val="00723015"/>
    <w:rsid w:val="00726BDF"/>
    <w:rsid w:val="00733D3D"/>
    <w:rsid w:val="007422DD"/>
    <w:rsid w:val="00745BFC"/>
    <w:rsid w:val="0075782C"/>
    <w:rsid w:val="00760D48"/>
    <w:rsid w:val="00775637"/>
    <w:rsid w:val="00775A04"/>
    <w:rsid w:val="00783738"/>
    <w:rsid w:val="007904BD"/>
    <w:rsid w:val="007A0516"/>
    <w:rsid w:val="007B1A2C"/>
    <w:rsid w:val="007B4199"/>
    <w:rsid w:val="007C2932"/>
    <w:rsid w:val="007C66A6"/>
    <w:rsid w:val="007D1339"/>
    <w:rsid w:val="007D2AA4"/>
    <w:rsid w:val="007E2240"/>
    <w:rsid w:val="00800444"/>
    <w:rsid w:val="008151B0"/>
    <w:rsid w:val="008235B7"/>
    <w:rsid w:val="00844FC9"/>
    <w:rsid w:val="008467F5"/>
    <w:rsid w:val="00854B4E"/>
    <w:rsid w:val="00866227"/>
    <w:rsid w:val="008675C2"/>
    <w:rsid w:val="00876843"/>
    <w:rsid w:val="00894394"/>
    <w:rsid w:val="008A22CD"/>
    <w:rsid w:val="008A3736"/>
    <w:rsid w:val="008A6127"/>
    <w:rsid w:val="008A67D8"/>
    <w:rsid w:val="008B1D2B"/>
    <w:rsid w:val="008C38E8"/>
    <w:rsid w:val="008C5CA6"/>
    <w:rsid w:val="008C6ED4"/>
    <w:rsid w:val="008D261C"/>
    <w:rsid w:val="008D6C75"/>
    <w:rsid w:val="008E15AD"/>
    <w:rsid w:val="008E4B82"/>
    <w:rsid w:val="00904801"/>
    <w:rsid w:val="00914A00"/>
    <w:rsid w:val="00923CC5"/>
    <w:rsid w:val="0093498B"/>
    <w:rsid w:val="00943673"/>
    <w:rsid w:val="00945A5D"/>
    <w:rsid w:val="009461D9"/>
    <w:rsid w:val="009606AB"/>
    <w:rsid w:val="0096319B"/>
    <w:rsid w:val="00965CE6"/>
    <w:rsid w:val="00966A4C"/>
    <w:rsid w:val="00970EA0"/>
    <w:rsid w:val="009B07B1"/>
    <w:rsid w:val="009B2245"/>
    <w:rsid w:val="009B3121"/>
    <w:rsid w:val="009B6144"/>
    <w:rsid w:val="009C3E89"/>
    <w:rsid w:val="009C79B8"/>
    <w:rsid w:val="009D30D2"/>
    <w:rsid w:val="009F54DD"/>
    <w:rsid w:val="00A00F62"/>
    <w:rsid w:val="00A166D0"/>
    <w:rsid w:val="00A27B4C"/>
    <w:rsid w:val="00A36B06"/>
    <w:rsid w:val="00A461C0"/>
    <w:rsid w:val="00A61137"/>
    <w:rsid w:val="00A7227A"/>
    <w:rsid w:val="00A771B9"/>
    <w:rsid w:val="00A862D2"/>
    <w:rsid w:val="00A92CA0"/>
    <w:rsid w:val="00AA17CF"/>
    <w:rsid w:val="00AA3C08"/>
    <w:rsid w:val="00AB1862"/>
    <w:rsid w:val="00AC52AF"/>
    <w:rsid w:val="00AD1D6C"/>
    <w:rsid w:val="00AD2305"/>
    <w:rsid w:val="00AD4BE1"/>
    <w:rsid w:val="00AE0D6F"/>
    <w:rsid w:val="00AE47A3"/>
    <w:rsid w:val="00AE5D12"/>
    <w:rsid w:val="00B109B2"/>
    <w:rsid w:val="00B40D86"/>
    <w:rsid w:val="00B5000E"/>
    <w:rsid w:val="00B55FD8"/>
    <w:rsid w:val="00B71FAE"/>
    <w:rsid w:val="00B75F73"/>
    <w:rsid w:val="00B8188E"/>
    <w:rsid w:val="00BA06A2"/>
    <w:rsid w:val="00BA12BC"/>
    <w:rsid w:val="00BA3E39"/>
    <w:rsid w:val="00BA7B37"/>
    <w:rsid w:val="00BB0205"/>
    <w:rsid w:val="00BC2D67"/>
    <w:rsid w:val="00BF017F"/>
    <w:rsid w:val="00BF1357"/>
    <w:rsid w:val="00BF6FA3"/>
    <w:rsid w:val="00C034BA"/>
    <w:rsid w:val="00C10AF3"/>
    <w:rsid w:val="00C15D55"/>
    <w:rsid w:val="00C22CD9"/>
    <w:rsid w:val="00C60438"/>
    <w:rsid w:val="00C663BC"/>
    <w:rsid w:val="00C67B8B"/>
    <w:rsid w:val="00C714FE"/>
    <w:rsid w:val="00C82FE6"/>
    <w:rsid w:val="00C93F96"/>
    <w:rsid w:val="00C95C29"/>
    <w:rsid w:val="00C97785"/>
    <w:rsid w:val="00CA07FC"/>
    <w:rsid w:val="00CB44DE"/>
    <w:rsid w:val="00CC5EA8"/>
    <w:rsid w:val="00CD75DC"/>
    <w:rsid w:val="00CE4D47"/>
    <w:rsid w:val="00CE7529"/>
    <w:rsid w:val="00CF1C39"/>
    <w:rsid w:val="00D01736"/>
    <w:rsid w:val="00D105DF"/>
    <w:rsid w:val="00D12C87"/>
    <w:rsid w:val="00D26EEE"/>
    <w:rsid w:val="00D517AF"/>
    <w:rsid w:val="00D64072"/>
    <w:rsid w:val="00D67B11"/>
    <w:rsid w:val="00D7386B"/>
    <w:rsid w:val="00D76306"/>
    <w:rsid w:val="00D8211D"/>
    <w:rsid w:val="00D852D6"/>
    <w:rsid w:val="00D9612E"/>
    <w:rsid w:val="00DA3F41"/>
    <w:rsid w:val="00DA4C7E"/>
    <w:rsid w:val="00DB4B64"/>
    <w:rsid w:val="00DD5A4F"/>
    <w:rsid w:val="00DD66EA"/>
    <w:rsid w:val="00DF760B"/>
    <w:rsid w:val="00DF7CAF"/>
    <w:rsid w:val="00E147E5"/>
    <w:rsid w:val="00E22452"/>
    <w:rsid w:val="00E22DA3"/>
    <w:rsid w:val="00E27B26"/>
    <w:rsid w:val="00E34D7D"/>
    <w:rsid w:val="00E457EF"/>
    <w:rsid w:val="00E45891"/>
    <w:rsid w:val="00E5003C"/>
    <w:rsid w:val="00E53DAA"/>
    <w:rsid w:val="00E65DEB"/>
    <w:rsid w:val="00E702B1"/>
    <w:rsid w:val="00E87C70"/>
    <w:rsid w:val="00EA1ECF"/>
    <w:rsid w:val="00EA77D3"/>
    <w:rsid w:val="00EB1FA3"/>
    <w:rsid w:val="00EE0C18"/>
    <w:rsid w:val="00EE1D6A"/>
    <w:rsid w:val="00EE53F3"/>
    <w:rsid w:val="00EE5A74"/>
    <w:rsid w:val="00EE64A0"/>
    <w:rsid w:val="00EF0AF4"/>
    <w:rsid w:val="00F07217"/>
    <w:rsid w:val="00F27212"/>
    <w:rsid w:val="00F31A2E"/>
    <w:rsid w:val="00F377DA"/>
    <w:rsid w:val="00F45E23"/>
    <w:rsid w:val="00F47EC2"/>
    <w:rsid w:val="00F55928"/>
    <w:rsid w:val="00F5767B"/>
    <w:rsid w:val="00F6789C"/>
    <w:rsid w:val="00F77DFE"/>
    <w:rsid w:val="00F82C86"/>
    <w:rsid w:val="00F83B94"/>
    <w:rsid w:val="00F83C7A"/>
    <w:rsid w:val="00F83EAA"/>
    <w:rsid w:val="00FB2DB8"/>
    <w:rsid w:val="00FB38FA"/>
    <w:rsid w:val="00FB5206"/>
    <w:rsid w:val="00FB5DD6"/>
    <w:rsid w:val="00FC0E49"/>
    <w:rsid w:val="00FD2363"/>
    <w:rsid w:val="00FD57B4"/>
    <w:rsid w:val="00FD6C80"/>
    <w:rsid w:val="00FE47C3"/>
    <w:rsid w:val="00FE7A2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adlet.com/millingg/send-edge-hill-k7lx39p5fg5pvpfk/wish/2817998778"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era.ioe.ac.uk/6059/1/RR516.pdf"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adlet.com/millingg/send-edge-hill-k7lx39p5fg5pvpfk/wish/2818000101"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2023-06-21T08:24:00Z</cp:lastPrinted>
  <dcterms:created xsi:type="dcterms:W3CDTF">2024-01-04T12:31:00Z</dcterms:created>
  <dcterms:modified xsi:type="dcterms:W3CDTF">2024-01-04T12:31:00Z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