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7B6BC618"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BD6AF6">
              <w:rPr>
                <w:rFonts w:ascii="Cambria" w:eastAsia="Cambria" w:hAnsi="Cambria" w:cs="Cambria"/>
                <w:b/>
                <w:color w:val="FFFFFF"/>
                <w:sz w:val="20"/>
                <w:szCs w:val="20"/>
              </w:rPr>
              <w:t>3</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77777777" w:rsidR="000856A2" w:rsidRDefault="005C704E">
            <w:pPr>
              <w:jc w:val="both"/>
              <w:rPr>
                <w:b/>
              </w:rPr>
            </w:pPr>
            <w:r>
              <w:rPr>
                <w:b/>
              </w:rPr>
              <w:t>Course: Secondary Computing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77777777" w:rsidR="000856A2" w:rsidRDefault="005C704E">
            <w:pPr>
              <w:jc w:val="both"/>
              <w:rPr>
                <w:b/>
              </w:rPr>
            </w:pPr>
            <w:r>
              <w:rPr>
                <w:b/>
              </w:rPr>
              <w:t>PGCE</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5D855AAB" w:rsidR="000856A2" w:rsidRDefault="007A48B5">
            <w:pPr>
              <w:jc w:val="both"/>
              <w:rPr>
                <w:b/>
              </w:rPr>
            </w:pPr>
            <w:r>
              <w:rPr>
                <w:b/>
              </w:rPr>
              <w:t>5</w:t>
            </w:r>
            <w:r w:rsidRPr="007A48B5">
              <w:rPr>
                <w:b/>
                <w:vertAlign w:val="superscript"/>
              </w:rPr>
              <w:t>th</w:t>
            </w:r>
            <w:r>
              <w:rPr>
                <w:b/>
              </w:rPr>
              <w:t xml:space="preserve"> February</w:t>
            </w:r>
            <w:r w:rsidR="00483A31">
              <w:rPr>
                <w:b/>
              </w:rPr>
              <w:t xml:space="preserve"> 2</w:t>
            </w:r>
            <w:r w:rsidR="00C61311">
              <w:rPr>
                <w:b/>
              </w:rPr>
              <w:t>024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2E55D43" w14:textId="086188C8" w:rsidR="00500E6E" w:rsidRDefault="00BD6AF6" w:rsidP="00500E6E">
            <w:r w:rsidRPr="00500E6E">
              <w:rPr>
                <w:rFonts w:asciiTheme="majorHAnsi" w:eastAsia="Times New Roman" w:hAnsiTheme="majorHAnsi" w:cstheme="majorHAnsi"/>
                <w:b/>
                <w:bCs/>
              </w:rPr>
              <w:t>Reading:</w:t>
            </w:r>
            <w:r w:rsidRPr="00500E6E">
              <w:rPr>
                <w:rFonts w:asciiTheme="majorHAnsi" w:eastAsia="Times New Roman" w:hAnsiTheme="majorHAnsi" w:cstheme="majorHAnsi"/>
              </w:rPr>
              <w:t xml:space="preserve"> </w:t>
            </w:r>
            <w:r w:rsidR="00500E6E">
              <w:t xml:space="preserve">Deans for Impact (2015) The Science of Learning [Online] Accessible from: </w:t>
            </w:r>
            <w:hyperlink r:id="rId11" w:history="1">
              <w:r w:rsidR="00500E6E" w:rsidRPr="00500E6E">
                <w:rPr>
                  <w:rStyle w:val="Hyperlink"/>
                </w:rPr>
                <w:t>https://www.deansforimpact.org/files/assets/thescienceoflearning.pdf</w:t>
              </w:r>
            </w:hyperlink>
          </w:p>
          <w:p w14:paraId="5EB6FB45" w14:textId="77777777" w:rsidR="00500E6E" w:rsidRDefault="00500E6E" w:rsidP="00500E6E">
            <w:pPr>
              <w:rPr>
                <w:rFonts w:asciiTheme="majorHAnsi" w:eastAsia="Times New Roman" w:hAnsiTheme="majorHAnsi" w:cstheme="majorHAnsi"/>
              </w:rPr>
            </w:pPr>
          </w:p>
          <w:p w14:paraId="72F2B6FD" w14:textId="15330F79" w:rsidR="007A48B5" w:rsidRPr="00500E6E" w:rsidRDefault="007A48B5" w:rsidP="00500E6E">
            <w:pPr>
              <w:spacing w:after="0" w:line="240" w:lineRule="auto"/>
              <w:rPr>
                <w:rFonts w:asciiTheme="majorHAnsi" w:hAnsiTheme="majorHAnsi" w:cstheme="majorHAnsi"/>
              </w:rPr>
            </w:pPr>
            <w:r w:rsidRPr="00500E6E">
              <w:rPr>
                <w:rFonts w:asciiTheme="majorHAnsi" w:hAnsiTheme="majorHAnsi" w:cstheme="majorHAnsi"/>
                <w:b/>
                <w:bCs/>
                <w:color w:val="000000"/>
              </w:rPr>
              <w:t>Summary</w:t>
            </w:r>
            <w:r w:rsidRPr="00500E6E">
              <w:rPr>
                <w:rFonts w:asciiTheme="majorHAnsi" w:hAnsiTheme="majorHAnsi" w:cstheme="majorHAnsi"/>
                <w:color w:val="000000"/>
              </w:rPr>
              <w:t xml:space="preserve">: </w:t>
            </w:r>
            <w:r w:rsidRPr="00500E6E">
              <w:rPr>
                <w:rFonts w:asciiTheme="majorHAnsi" w:hAnsiTheme="majorHAnsi" w:cstheme="majorHAnsi"/>
                <w:color w:val="000000"/>
              </w:rPr>
              <w:t>This paper underscores six pivotal principles from cognitive science for educators. First, students effectively grasp new concepts by connecting them to existing knowledge, underscoring the importance of a well-structured curriculum. Second, elaborate analogies support learning, considering the limited capacity of working memory during the transition to long-term memory. Third, cognitive development follows a non-linear age-related trajectory, prompting teachers to reduce cognitive load through strategies such as worked examples and explicit content presentation. Fourth, tasks emphasizing explanation and meaningful organization bolster comprehension and retention. Fifth, memory longevity benefits from spaced and interleaved practice. Sixth, implementing practical strategies aligned with cognitive principles optimizes learning and retention.</w:t>
            </w:r>
          </w:p>
          <w:p w14:paraId="6462F6A7" w14:textId="77777777" w:rsidR="007A48B5" w:rsidRPr="00500E6E" w:rsidRDefault="007A48B5" w:rsidP="007A48B5">
            <w:pPr>
              <w:pStyle w:val="NormalWeb"/>
              <w:shd w:val="clear" w:color="auto" w:fill="FFFFFF"/>
              <w:rPr>
                <w:rFonts w:asciiTheme="majorHAnsi" w:hAnsiTheme="majorHAnsi" w:cstheme="majorHAnsi"/>
              </w:rPr>
            </w:pPr>
            <w:r w:rsidRPr="00500E6E">
              <w:rPr>
                <w:rFonts w:asciiTheme="majorHAnsi" w:hAnsiTheme="majorHAnsi" w:cstheme="majorHAnsi"/>
                <w:color w:val="242424"/>
              </w:rPr>
              <w:t> </w:t>
            </w:r>
          </w:p>
          <w:p w14:paraId="439D507D" w14:textId="77777777" w:rsidR="007A48B5" w:rsidRPr="00500E6E" w:rsidRDefault="007A48B5" w:rsidP="007A48B5">
            <w:pPr>
              <w:pStyle w:val="NormalWeb"/>
              <w:shd w:val="clear" w:color="auto" w:fill="FFFFFF"/>
              <w:rPr>
                <w:rFonts w:asciiTheme="majorHAnsi" w:hAnsiTheme="majorHAnsi" w:cstheme="majorHAnsi"/>
              </w:rPr>
            </w:pPr>
            <w:r w:rsidRPr="00500E6E">
              <w:rPr>
                <w:rFonts w:asciiTheme="majorHAnsi" w:hAnsiTheme="majorHAnsi" w:cstheme="majorHAnsi"/>
                <w:b/>
                <w:bCs/>
                <w:color w:val="000000"/>
              </w:rPr>
              <w:t>Limitations</w:t>
            </w:r>
            <w:r w:rsidRPr="00500E6E">
              <w:rPr>
                <w:rFonts w:asciiTheme="majorHAnsi" w:hAnsiTheme="majorHAnsi" w:cstheme="majorHAnsi"/>
                <w:color w:val="000000"/>
              </w:rPr>
              <w:t>: Further research is needed on the impact of cognitive science and practical applications in education, as the current focus is primarily on early educators. The scientific consensus on cognitive science remains debatable and continually evolving.</w:t>
            </w:r>
          </w:p>
          <w:p w14:paraId="2AF98802" w14:textId="0ADD9D93" w:rsidR="007A7AD0" w:rsidRPr="005A1B78" w:rsidRDefault="007A7AD0" w:rsidP="005A1B78">
            <w:pPr>
              <w:pStyle w:val="NormalWeb"/>
              <w:shd w:val="clear" w:color="auto" w:fill="FFFFFF"/>
              <w:spacing w:after="300"/>
              <w:rPr>
                <w:sz w:val="20"/>
                <w:szCs w:val="20"/>
              </w:rPr>
            </w:pP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07E4ACEF" w14:textId="03512FEF" w:rsidR="00500E6E" w:rsidRPr="00500E6E" w:rsidRDefault="00426D76" w:rsidP="00426D76">
            <w:pPr>
              <w:rPr>
                <w:bCs/>
              </w:rPr>
            </w:pPr>
            <w:r>
              <w:rPr>
                <w:bCs/>
              </w:rPr>
              <w:t xml:space="preserve">In the following 25 minute video </w:t>
            </w:r>
            <w:r w:rsidR="00500E6E" w:rsidRPr="00500E6E">
              <w:rPr>
                <w:bCs/>
              </w:rPr>
              <w:t>Dr Gareth Bates</w:t>
            </w:r>
            <w:r w:rsidR="00500E6E">
              <w:rPr>
                <w:bCs/>
              </w:rPr>
              <w:t xml:space="preserve"> </w:t>
            </w:r>
            <w:r>
              <w:rPr>
                <w:bCs/>
              </w:rPr>
              <w:t xml:space="preserve">summarises two retrieval practice papers cited on the ITT Core Content Framework: </w:t>
            </w:r>
            <w:r w:rsidRPr="00426D76">
              <w:rPr>
                <w:bCs/>
              </w:rPr>
              <w:t>https://bit.ly/3ugPCfo</w:t>
            </w: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0A5E54DD" w14:textId="77777777" w:rsidR="0092732C" w:rsidRPr="0092732C" w:rsidRDefault="0092732C" w:rsidP="0092732C">
            <w:pPr>
              <w:rPr>
                <w:rFonts w:asciiTheme="majorHAnsi" w:hAnsiTheme="majorHAnsi" w:cstheme="majorHAnsi"/>
              </w:rPr>
            </w:pPr>
            <w:r w:rsidRPr="0092732C">
              <w:rPr>
                <w:rFonts w:asciiTheme="majorHAnsi" w:hAnsiTheme="majorHAnsi" w:cstheme="majorHAnsi"/>
              </w:rPr>
              <w:t>Review and respond week: Retrieval Practice</w:t>
            </w:r>
          </w:p>
          <w:p w14:paraId="5FEA5FF3" w14:textId="77777777" w:rsidR="0092732C" w:rsidRPr="0092732C" w:rsidRDefault="0092732C" w:rsidP="0092732C">
            <w:pPr>
              <w:pStyle w:val="ListParagraph"/>
              <w:rPr>
                <w:rFonts w:asciiTheme="majorHAnsi" w:hAnsiTheme="majorHAnsi" w:cstheme="majorHAnsi"/>
                <w:sz w:val="22"/>
                <w:szCs w:val="22"/>
              </w:rPr>
            </w:pPr>
            <w:r w:rsidRPr="0092732C">
              <w:rPr>
                <w:rFonts w:asciiTheme="majorHAnsi" w:hAnsiTheme="majorHAnsi" w:cstheme="majorHAnsi"/>
                <w:sz w:val="22"/>
                <w:szCs w:val="22"/>
              </w:rPr>
              <w:t>Worked examples that take pupils through each step of a new process are likely to support pupils learning.</w:t>
            </w:r>
          </w:p>
          <w:p w14:paraId="483DB6BA" w14:textId="3D6FD9ED" w:rsidR="003E0A2E" w:rsidRPr="00655CB2" w:rsidRDefault="0092732C" w:rsidP="0092732C">
            <w:pPr>
              <w:pStyle w:val="ListParagraph"/>
              <w:rPr>
                <w:rFonts w:asciiTheme="majorHAnsi" w:hAnsiTheme="majorHAnsi" w:cstheme="majorHAnsi"/>
                <w:bCs/>
                <w:color w:val="000000"/>
                <w:sz w:val="24"/>
                <w:szCs w:val="24"/>
              </w:rPr>
            </w:pPr>
            <w:r w:rsidRPr="0092732C">
              <w:rPr>
                <w:rFonts w:asciiTheme="majorHAnsi" w:hAnsiTheme="majorHAnsi" w:cstheme="majorHAnsi"/>
                <w:sz w:val="22"/>
                <w:szCs w:val="22"/>
              </w:rPr>
              <w:t>Using KS4 assessment materials facilitates retrieval and provides opportunities to develop “exam technique”</w:t>
            </w: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18DD3E6B" w14:textId="77777777" w:rsidR="0092732C" w:rsidRPr="0092732C" w:rsidRDefault="0092732C" w:rsidP="0092732C">
            <w:pPr>
              <w:pStyle w:val="ListParagraph"/>
              <w:rPr>
                <w:rFonts w:asciiTheme="majorHAnsi" w:hAnsiTheme="majorHAnsi" w:cstheme="majorHAnsi"/>
                <w:sz w:val="22"/>
                <w:szCs w:val="22"/>
              </w:rPr>
            </w:pPr>
            <w:r w:rsidRPr="0092732C">
              <w:rPr>
                <w:rFonts w:asciiTheme="majorHAnsi" w:hAnsiTheme="majorHAnsi" w:cstheme="majorHAnsi"/>
                <w:sz w:val="22"/>
                <w:szCs w:val="22"/>
              </w:rPr>
              <w:t>Plan to use worked examples which promote pupil learning such as modelling live coding.</w:t>
            </w:r>
          </w:p>
          <w:p w14:paraId="52F81868" w14:textId="7AB03DFF" w:rsidR="000856A2" w:rsidRPr="0092732C" w:rsidRDefault="0092732C" w:rsidP="0092732C">
            <w:pPr>
              <w:pStyle w:val="ListParagraph"/>
            </w:pPr>
            <w:r w:rsidRPr="0092732C">
              <w:rPr>
                <w:rFonts w:asciiTheme="majorHAnsi" w:hAnsiTheme="majorHAnsi" w:cstheme="majorHAnsi"/>
                <w:sz w:val="22"/>
                <w:szCs w:val="22"/>
              </w:rPr>
              <w:t>Identify suitable KS4 assessment materials to incorporate into lesson plans.</w:t>
            </w:r>
            <w:r w:rsidR="009658FF" w:rsidRPr="0092732C">
              <w:br/>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106E3FAE" w14:textId="77777777" w:rsidR="0092732C" w:rsidRPr="0092732C" w:rsidRDefault="0092732C" w:rsidP="0092732C">
            <w:pPr>
              <w:pStyle w:val="ListParagraph"/>
              <w:numPr>
                <w:ilvl w:val="0"/>
                <w:numId w:val="6"/>
              </w:numPr>
              <w:rPr>
                <w:rFonts w:asciiTheme="majorHAnsi" w:hAnsiTheme="majorHAnsi" w:cstheme="majorHAnsi"/>
                <w:sz w:val="22"/>
                <w:szCs w:val="22"/>
              </w:rPr>
            </w:pPr>
            <w:r w:rsidRPr="0092732C">
              <w:rPr>
                <w:rFonts w:asciiTheme="majorHAnsi" w:hAnsiTheme="majorHAnsi" w:cstheme="majorHAnsi"/>
                <w:sz w:val="22"/>
                <w:szCs w:val="22"/>
              </w:rPr>
              <w:t xml:space="preserve">Use the focus of discussions from mentor meetings, targets, lesson observation feedback and task to reflect on areas of focus and development. </w:t>
            </w:r>
          </w:p>
          <w:p w14:paraId="708DA75C" w14:textId="77777777" w:rsidR="0092732C" w:rsidRPr="0092732C" w:rsidRDefault="0092732C" w:rsidP="0092732C">
            <w:pPr>
              <w:pStyle w:val="ListParagraph"/>
              <w:numPr>
                <w:ilvl w:val="0"/>
                <w:numId w:val="6"/>
              </w:numPr>
              <w:rPr>
                <w:rFonts w:asciiTheme="majorHAnsi" w:hAnsiTheme="majorHAnsi" w:cstheme="majorHAnsi"/>
                <w:sz w:val="22"/>
                <w:szCs w:val="22"/>
              </w:rPr>
            </w:pPr>
            <w:r w:rsidRPr="0092732C">
              <w:rPr>
                <w:rFonts w:asciiTheme="majorHAnsi" w:hAnsiTheme="majorHAnsi" w:cstheme="majorHAnsi"/>
                <w:sz w:val="22"/>
                <w:szCs w:val="22"/>
              </w:rPr>
              <w:t>Explore and reflect on how retrieval practice is implemented in your setting.</w:t>
            </w:r>
          </w:p>
          <w:p w14:paraId="371D24FC" w14:textId="47B91991" w:rsidR="000856A2" w:rsidRPr="0092732C" w:rsidRDefault="000856A2" w:rsidP="00426D76">
            <w:pPr>
              <w:pBdr>
                <w:top w:val="nil"/>
                <w:left w:val="nil"/>
                <w:bottom w:val="nil"/>
                <w:right w:val="nil"/>
                <w:between w:val="nil"/>
              </w:pBdr>
              <w:autoSpaceDE w:val="0"/>
              <w:autoSpaceDN w:val="0"/>
              <w:ind w:left="360"/>
              <w:rPr>
                <w:rFonts w:asciiTheme="majorHAnsi" w:hAnsiTheme="majorHAnsi" w:cstheme="majorHAnsi"/>
              </w:rPr>
            </w:pP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 xml:space="preserve">Opportunities identified for </w:t>
            </w:r>
            <w:r>
              <w:rPr>
                <w:b/>
              </w:rPr>
              <w:lastRenderedPageBreak/>
              <w:t>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lastRenderedPageBreak/>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8"/>
      <w:footerReference w:type="default" r:id="rId1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4D2E5" w14:textId="77777777" w:rsidR="00D47AD6" w:rsidRDefault="00D47AD6">
      <w:pPr>
        <w:spacing w:after="0" w:line="240" w:lineRule="auto"/>
      </w:pPr>
      <w:r>
        <w:separator/>
      </w:r>
    </w:p>
  </w:endnote>
  <w:endnote w:type="continuationSeparator" w:id="0">
    <w:p w14:paraId="1CD02D6A" w14:textId="77777777" w:rsidR="00D47AD6" w:rsidRDefault="00D4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D391" w14:textId="77777777" w:rsidR="00D47AD6" w:rsidRDefault="00D47AD6">
      <w:pPr>
        <w:spacing w:after="0" w:line="240" w:lineRule="auto"/>
      </w:pPr>
      <w:r>
        <w:separator/>
      </w:r>
    </w:p>
  </w:footnote>
  <w:footnote w:type="continuationSeparator" w:id="0">
    <w:p w14:paraId="5B4028B2" w14:textId="77777777" w:rsidR="00D47AD6" w:rsidRDefault="00D4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5"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6249767">
    <w:abstractNumId w:val="0"/>
  </w:num>
  <w:num w:numId="2" w16cid:durableId="1181966182">
    <w:abstractNumId w:val="2"/>
  </w:num>
  <w:num w:numId="3" w16cid:durableId="56052816">
    <w:abstractNumId w:val="3"/>
  </w:num>
  <w:num w:numId="4" w16cid:durableId="137890287">
    <w:abstractNumId w:val="1"/>
  </w:num>
  <w:num w:numId="5" w16cid:durableId="1397431522">
    <w:abstractNumId w:val="5"/>
  </w:num>
  <w:num w:numId="6" w16cid:durableId="757794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856A2"/>
    <w:rsid w:val="00085FDF"/>
    <w:rsid w:val="000A35EE"/>
    <w:rsid w:val="002D4D6B"/>
    <w:rsid w:val="00310BDC"/>
    <w:rsid w:val="00351B5C"/>
    <w:rsid w:val="003760AE"/>
    <w:rsid w:val="003E0A2E"/>
    <w:rsid w:val="003E55C8"/>
    <w:rsid w:val="003F366C"/>
    <w:rsid w:val="00426D76"/>
    <w:rsid w:val="00430307"/>
    <w:rsid w:val="00483A31"/>
    <w:rsid w:val="0048415A"/>
    <w:rsid w:val="00500E6E"/>
    <w:rsid w:val="005825BA"/>
    <w:rsid w:val="005A1B78"/>
    <w:rsid w:val="005C704E"/>
    <w:rsid w:val="00652EB1"/>
    <w:rsid w:val="00655CB2"/>
    <w:rsid w:val="00721ABE"/>
    <w:rsid w:val="007A1D10"/>
    <w:rsid w:val="007A48B5"/>
    <w:rsid w:val="007A7AD0"/>
    <w:rsid w:val="007E7393"/>
    <w:rsid w:val="0080537A"/>
    <w:rsid w:val="008837DE"/>
    <w:rsid w:val="008A1D8B"/>
    <w:rsid w:val="008E0FD0"/>
    <w:rsid w:val="0092732C"/>
    <w:rsid w:val="00960F29"/>
    <w:rsid w:val="009658FF"/>
    <w:rsid w:val="0097075A"/>
    <w:rsid w:val="00B1691E"/>
    <w:rsid w:val="00B73B79"/>
    <w:rsid w:val="00BD6AF6"/>
    <w:rsid w:val="00C47E95"/>
    <w:rsid w:val="00C61311"/>
    <w:rsid w:val="00C950D2"/>
    <w:rsid w:val="00C955DB"/>
    <w:rsid w:val="00CB46B9"/>
    <w:rsid w:val="00D136B6"/>
    <w:rsid w:val="00D47AD6"/>
    <w:rsid w:val="00D515F1"/>
    <w:rsid w:val="00DC14F7"/>
    <w:rsid w:val="00EA4289"/>
    <w:rsid w:val="00F55DCF"/>
    <w:rsid w:val="00F63F5E"/>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nsforimpact.org/files/assets/thescienceoflearning.pdf"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Props1.xml><?xml version="1.0" encoding="utf-8"?>
<ds:datastoreItem xmlns:ds="http://schemas.openxmlformats.org/officeDocument/2006/customXml" ds:itemID="{52E408F7-79FA-4117-82B4-40AA7A601276}">
  <ds:schemaRefs>
    <ds:schemaRef ds:uri="http://schemas.microsoft.com/sharepoint/v3/contenttype/forms"/>
  </ds:schemaRefs>
</ds:datastoreItem>
</file>

<file path=customXml/itemProps2.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Nicola Looker (PGR)</cp:lastModifiedBy>
  <cp:revision>3</cp:revision>
  <dcterms:created xsi:type="dcterms:W3CDTF">2024-02-01T15:45:00Z</dcterms:created>
  <dcterms:modified xsi:type="dcterms:W3CDTF">2024-02-01T16:06:00Z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