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26E202A4"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E527F3">
              <w:rPr>
                <w:rFonts w:ascii="Cambria" w:eastAsia="Cambria" w:hAnsi="Cambria" w:cs="Cambria"/>
                <w:b/>
                <w:color w:val="FFFFFF"/>
                <w:sz w:val="20"/>
                <w:szCs w:val="20"/>
              </w:rPr>
              <w:t>5/26</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33D8236A" w:rsidR="000856A2" w:rsidRDefault="003A6C06">
            <w:pPr>
              <w:jc w:val="both"/>
              <w:rPr>
                <w:b/>
              </w:rPr>
            </w:pPr>
            <w:r>
              <w:rPr>
                <w:b/>
              </w:rPr>
              <w:t>12</w:t>
            </w:r>
            <w:r w:rsidR="007A48B5" w:rsidRPr="007A48B5">
              <w:rPr>
                <w:b/>
                <w:vertAlign w:val="superscript"/>
              </w:rPr>
              <w:t>th</w:t>
            </w:r>
            <w:r w:rsidR="007A48B5">
              <w:rPr>
                <w:b/>
              </w:rPr>
              <w:t xml:space="preserve"> </w:t>
            </w:r>
            <w:r>
              <w:rPr>
                <w:b/>
              </w:rPr>
              <w:t>or 19</w:t>
            </w:r>
            <w:r w:rsidRPr="003A6C06">
              <w:rPr>
                <w:b/>
                <w:vertAlign w:val="superscript"/>
              </w:rPr>
              <w:t>th</w:t>
            </w:r>
            <w:r>
              <w:rPr>
                <w:b/>
              </w:rPr>
              <w:t xml:space="preserve"> F</w:t>
            </w:r>
            <w:r w:rsidR="007A48B5">
              <w:rPr>
                <w:b/>
              </w:rPr>
              <w:t>ebruary</w:t>
            </w:r>
            <w:r w:rsidR="00483A31">
              <w:rPr>
                <w:b/>
              </w:rPr>
              <w:t xml:space="preserve">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1683F13F"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Summary  </w:t>
            </w:r>
          </w:p>
          <w:p w14:paraId="5ECAC152" w14:textId="77777777" w:rsidR="003A6C06" w:rsidRPr="003A6C06" w:rsidRDefault="003A6C06" w:rsidP="003A6C06">
            <w:pPr>
              <w:rPr>
                <w:rFonts w:asciiTheme="majorHAnsi" w:eastAsia="Times New Roman" w:hAnsiTheme="majorHAnsi" w:cstheme="majorHAnsi"/>
                <w:b/>
                <w:bCs/>
              </w:rPr>
            </w:pPr>
          </w:p>
          <w:p w14:paraId="236752EA"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This paper discusses the need for schools to rethink the role of Teaching Assistants (TAs) and improve their utilisation to enhance student learning. Currently, TAs are often used informally as instructional resources for struggling students, which can lead to their isolation from the regular classroom setting. The document emphasizes the following key recommendations:  </w:t>
            </w:r>
          </w:p>
          <w:p w14:paraId="4DE4929B" w14:textId="77777777" w:rsidR="003A6C06" w:rsidRPr="003A6C06" w:rsidRDefault="003A6C06" w:rsidP="003A6C06">
            <w:pPr>
              <w:rPr>
                <w:rFonts w:asciiTheme="majorHAnsi" w:eastAsia="Times New Roman" w:hAnsiTheme="majorHAnsi" w:cstheme="majorHAnsi"/>
                <w:b/>
                <w:bCs/>
              </w:rPr>
            </w:pPr>
          </w:p>
          <w:p w14:paraId="54D9159B"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TAs should not replace teachers but rather complement their work by focusing on the needs of all students through high-quality classroom teaching. This requires a shift away from assigning TAs to specific students for extended periods.  </w:t>
            </w:r>
          </w:p>
          <w:p w14:paraId="271EB839" w14:textId="77777777" w:rsidR="003A6C06" w:rsidRPr="003A6C06" w:rsidRDefault="003A6C06" w:rsidP="003A6C06">
            <w:pPr>
              <w:rPr>
                <w:rFonts w:asciiTheme="majorHAnsi" w:eastAsia="Times New Roman" w:hAnsiTheme="majorHAnsi" w:cstheme="majorHAnsi"/>
                <w:b/>
                <w:bCs/>
              </w:rPr>
            </w:pPr>
          </w:p>
          <w:p w14:paraId="608E1F2C"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TAs should help students develop independent learning skills and prioritize tasks that encourage ownership and autonomy, intervening only when necessary.  </w:t>
            </w:r>
          </w:p>
          <w:p w14:paraId="474ECB3A" w14:textId="77777777" w:rsidR="003A6C06" w:rsidRPr="003A6C06" w:rsidRDefault="003A6C06" w:rsidP="003A6C06">
            <w:pPr>
              <w:rPr>
                <w:rFonts w:asciiTheme="majorHAnsi" w:eastAsia="Times New Roman" w:hAnsiTheme="majorHAnsi" w:cstheme="majorHAnsi"/>
                <w:b/>
                <w:bCs/>
              </w:rPr>
            </w:pPr>
          </w:p>
          <w:p w14:paraId="34D74DA8"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Schools should provide sufficient time for TA training and collaboration between teachers and TAs for lesson preparation and feedback.  </w:t>
            </w:r>
          </w:p>
          <w:p w14:paraId="42CAFADA" w14:textId="77777777" w:rsidR="003A6C06" w:rsidRPr="003A6C06" w:rsidRDefault="003A6C06" w:rsidP="003A6C06">
            <w:pPr>
              <w:rPr>
                <w:rFonts w:asciiTheme="majorHAnsi" w:eastAsia="Times New Roman" w:hAnsiTheme="majorHAnsi" w:cstheme="majorHAnsi"/>
                <w:b/>
                <w:bCs/>
              </w:rPr>
            </w:pPr>
          </w:p>
          <w:p w14:paraId="0006485A"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When TAs deliver targeted interventions in one-to-one or small group settings, they can have a positive impact on student attainment if the interventions are structured and supported by high-quality training.  </w:t>
            </w:r>
          </w:p>
          <w:p w14:paraId="0C125F4B" w14:textId="77777777" w:rsidR="003A6C06" w:rsidRPr="003A6C06" w:rsidRDefault="003A6C06" w:rsidP="003A6C06">
            <w:pPr>
              <w:rPr>
                <w:rFonts w:asciiTheme="majorHAnsi" w:eastAsia="Times New Roman" w:hAnsiTheme="majorHAnsi" w:cstheme="majorHAnsi"/>
                <w:b/>
                <w:bCs/>
              </w:rPr>
            </w:pPr>
          </w:p>
          <w:p w14:paraId="37DE755F"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Schools should adopt evidence-based interventions for TAs in small groups and one-to-one instruction, following common elements of effective interventions such as brief, regular sessions, extensive TA training, structured resources, and assessments. </w:t>
            </w:r>
          </w:p>
          <w:p w14:paraId="6C499CB0" w14:textId="77777777" w:rsidR="003A6C06" w:rsidRPr="003A6C06" w:rsidRDefault="003A6C06" w:rsidP="003A6C06">
            <w:pPr>
              <w:rPr>
                <w:rFonts w:asciiTheme="majorHAnsi" w:eastAsia="Times New Roman" w:hAnsiTheme="majorHAnsi" w:cstheme="majorHAnsi"/>
                <w:b/>
                <w:bCs/>
              </w:rPr>
            </w:pPr>
          </w:p>
          <w:p w14:paraId="5F0CF822"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There should be explicit connections between everyday classroom teaching and structured interventions to ensure continuity and consistency in learning experiences for students.  </w:t>
            </w:r>
          </w:p>
          <w:p w14:paraId="0F981549" w14:textId="77777777" w:rsidR="003A6C06" w:rsidRPr="003A6C06" w:rsidRDefault="003A6C06" w:rsidP="003A6C06">
            <w:pPr>
              <w:rPr>
                <w:rFonts w:asciiTheme="majorHAnsi" w:eastAsia="Times New Roman" w:hAnsiTheme="majorHAnsi" w:cstheme="majorHAnsi"/>
                <w:b/>
                <w:bCs/>
              </w:rPr>
            </w:pPr>
          </w:p>
          <w:p w14:paraId="58753855"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Pupils should understand the links between classroom learning and interventions, as it cannot be assumed that they will naturally make these connections on their own. </w:t>
            </w:r>
          </w:p>
          <w:p w14:paraId="23FEF22B" w14:textId="77777777" w:rsidR="003A6C06" w:rsidRPr="003A6C06" w:rsidRDefault="003A6C06" w:rsidP="003A6C06">
            <w:pPr>
              <w:rPr>
                <w:rFonts w:asciiTheme="majorHAnsi" w:eastAsia="Times New Roman" w:hAnsiTheme="majorHAnsi" w:cstheme="majorHAnsi"/>
                <w:b/>
                <w:bCs/>
              </w:rPr>
            </w:pPr>
          </w:p>
          <w:p w14:paraId="069D1492"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 </w:t>
            </w:r>
          </w:p>
          <w:p w14:paraId="532ADA50" w14:textId="77777777" w:rsidR="003A6C06" w:rsidRPr="003A6C06" w:rsidRDefault="003A6C06" w:rsidP="003A6C06">
            <w:pPr>
              <w:rPr>
                <w:rFonts w:asciiTheme="majorHAnsi" w:eastAsia="Times New Roman" w:hAnsiTheme="majorHAnsi" w:cstheme="majorHAnsi"/>
                <w:b/>
                <w:bCs/>
              </w:rPr>
            </w:pPr>
          </w:p>
          <w:p w14:paraId="2E060E86"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lastRenderedPageBreak/>
              <w:t xml:space="preserve">Limitations </w:t>
            </w:r>
          </w:p>
          <w:p w14:paraId="3967EDE4" w14:textId="77777777" w:rsidR="003A6C06" w:rsidRPr="003A6C06" w:rsidRDefault="003A6C06" w:rsidP="003A6C06">
            <w:pPr>
              <w:rPr>
                <w:rFonts w:asciiTheme="majorHAnsi" w:eastAsia="Times New Roman" w:hAnsiTheme="majorHAnsi" w:cstheme="majorHAnsi"/>
                <w:b/>
                <w:bCs/>
              </w:rPr>
            </w:pPr>
          </w:p>
          <w:p w14:paraId="631E1B0B"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The research limitations, including limited evidence for structured interventions, potential lack of generalisability, and focus on short-term effects, highlight the importance of tailoring the document's recommendations to individual school contexts and student needs </w:t>
            </w:r>
          </w:p>
          <w:p w14:paraId="517370D8" w14:textId="29A6B526" w:rsidR="003A6C06" w:rsidRPr="003A6C06" w:rsidRDefault="003A6C06" w:rsidP="003A6C06">
            <w:pPr>
              <w:rPr>
                <w:rFonts w:asciiTheme="majorHAnsi" w:eastAsia="Times New Roman" w:hAnsiTheme="majorHAnsi" w:cstheme="majorHAnsi"/>
                <w:b/>
                <w:bCs/>
              </w:rPr>
            </w:pPr>
          </w:p>
          <w:p w14:paraId="54BCE263" w14:textId="77777777" w:rsidR="003A6C06" w:rsidRPr="003A6C06" w:rsidRDefault="003A6C06" w:rsidP="003A6C06">
            <w:pPr>
              <w:rPr>
                <w:rFonts w:asciiTheme="majorHAnsi" w:eastAsia="Times New Roman" w:hAnsiTheme="majorHAnsi" w:cstheme="majorHAnsi"/>
                <w:b/>
                <w:bCs/>
              </w:rPr>
            </w:pPr>
            <w:r w:rsidRPr="003A6C06">
              <w:rPr>
                <w:rFonts w:asciiTheme="majorHAnsi" w:eastAsia="Times New Roman" w:hAnsiTheme="majorHAnsi" w:cstheme="majorHAnsi"/>
                <w:b/>
                <w:bCs/>
              </w:rPr>
              <w:t xml:space="preserve">Reference </w:t>
            </w:r>
          </w:p>
          <w:p w14:paraId="6D45DA96" w14:textId="77777777" w:rsidR="003A6C06" w:rsidRPr="003A6C06" w:rsidRDefault="003A6C06" w:rsidP="003A6C06">
            <w:pPr>
              <w:rPr>
                <w:rFonts w:asciiTheme="majorHAnsi" w:eastAsia="Times New Roman" w:hAnsiTheme="majorHAnsi" w:cstheme="majorHAnsi"/>
                <w:b/>
                <w:bCs/>
              </w:rPr>
            </w:pPr>
          </w:p>
          <w:p w14:paraId="5CD38120" w14:textId="4F188A5C" w:rsidR="007A7AD0" w:rsidRDefault="003A6C06" w:rsidP="003A6C06">
            <w:pPr>
              <w:pStyle w:val="NormalWeb"/>
              <w:shd w:val="clear" w:color="auto" w:fill="FFFFFF"/>
              <w:spacing w:after="300"/>
              <w:rPr>
                <w:rFonts w:asciiTheme="majorHAnsi" w:eastAsia="Times New Roman" w:hAnsiTheme="majorHAnsi" w:cstheme="majorHAnsi"/>
                <w:b/>
                <w:bCs/>
              </w:rPr>
            </w:pPr>
            <w:r w:rsidRPr="003A6C06">
              <w:rPr>
                <w:rFonts w:asciiTheme="majorHAnsi" w:eastAsia="Times New Roman" w:hAnsiTheme="majorHAnsi" w:cstheme="majorHAnsi"/>
                <w:b/>
                <w:bCs/>
              </w:rPr>
              <w:t xml:space="preserve">Making Best Use of Teaching Assistants - Education Endowment Foundation </w:t>
            </w:r>
            <w:hyperlink r:id="rId11" w:history="1">
              <w:r w:rsidR="004633F3" w:rsidRPr="000D5AE1">
                <w:rPr>
                  <w:rStyle w:val="Hyperlink"/>
                  <w:rFonts w:asciiTheme="majorHAnsi" w:eastAsia="Times New Roman" w:hAnsiTheme="majorHAnsi" w:cstheme="majorHAnsi"/>
                  <w:b/>
                  <w:bCs/>
                </w:rPr>
                <w:t>https://educationendowmentfoundation.org.uk/education-evidence/guidance-reports/teaching-assistants</w:t>
              </w:r>
            </w:hyperlink>
          </w:p>
          <w:p w14:paraId="2AF98802" w14:textId="5855725A" w:rsidR="004633F3" w:rsidRPr="005A1B78" w:rsidRDefault="004633F3" w:rsidP="003A6C06">
            <w:pPr>
              <w:pStyle w:val="NormalWeb"/>
              <w:shd w:val="clear" w:color="auto" w:fill="FFFFFF"/>
              <w:spacing w:after="300"/>
              <w:rPr>
                <w:sz w:val="20"/>
                <w:szCs w:val="20"/>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lastRenderedPageBreak/>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131FD76" w14:textId="64BAA67C" w:rsidR="00500E6E" w:rsidRDefault="005C08D3" w:rsidP="00426D76">
            <w:pPr>
              <w:rPr>
                <w:bCs/>
              </w:rPr>
            </w:pPr>
            <w:r>
              <w:rPr>
                <w:bCs/>
              </w:rPr>
              <w:t xml:space="preserve">There is an article linked below </w:t>
            </w:r>
            <w:r w:rsidR="00E527F3">
              <w:rPr>
                <w:bCs/>
              </w:rPr>
              <w:t>on strategies to help pupils that have SEND</w:t>
            </w:r>
            <w:r>
              <w:rPr>
                <w:bCs/>
              </w:rPr>
              <w:t>, created by the Geographical Association</w:t>
            </w:r>
          </w:p>
          <w:p w14:paraId="7DCA811F" w14:textId="77777777" w:rsidR="005C08D3" w:rsidRDefault="005C08D3" w:rsidP="00426D76">
            <w:pPr>
              <w:rPr>
                <w:bCs/>
              </w:rPr>
            </w:pPr>
          </w:p>
          <w:p w14:paraId="5E5EA1C8" w14:textId="34135A6A" w:rsidR="005C08D3" w:rsidRDefault="00000000" w:rsidP="00426D76">
            <w:hyperlink r:id="rId13" w:history="1">
              <w:r w:rsidR="00E527F3" w:rsidRPr="00706CBF">
                <w:rPr>
                  <w:rStyle w:val="Hyperlink"/>
                </w:rPr>
                <w:t>https://geography.org.uk/ite/initial-teacher-education/geography-support-for-trainees-and-ects/learning-to-teach-secondary-geography/inclusion-and-adaptation/teaching-students-with-different-learning-needs/</w:t>
              </w:r>
            </w:hyperlink>
          </w:p>
          <w:p w14:paraId="07E4ACEF" w14:textId="49DF6B0B" w:rsidR="00E527F3" w:rsidRPr="00500E6E" w:rsidRDefault="00E527F3" w:rsidP="00426D76">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654FB43D" w14:textId="04AB42B8" w:rsidR="003A6C06" w:rsidRPr="003A6C06" w:rsidRDefault="003A6C06" w:rsidP="003A6C06">
            <w:pPr>
              <w:pStyle w:val="ListParagraph"/>
              <w:numPr>
                <w:ilvl w:val="0"/>
                <w:numId w:val="7"/>
              </w:numPr>
              <w:rPr>
                <w:rFonts w:asciiTheme="majorHAnsi" w:hAnsiTheme="majorHAnsi" w:cstheme="majorHAnsi"/>
              </w:rPr>
            </w:pPr>
            <w:r w:rsidRPr="003A6C06">
              <w:rPr>
                <w:rFonts w:asciiTheme="majorHAnsi" w:hAnsiTheme="majorHAnsi" w:cstheme="majorHAnsi"/>
              </w:rPr>
              <w:t>Additional members of staff provide valuable support with individual/ groups of pupils in addition to flexibly grouping pupils within a class to provide more tailored support.</w:t>
            </w:r>
          </w:p>
          <w:p w14:paraId="3DC275A1" w14:textId="77777777" w:rsidR="003A6C06" w:rsidRPr="003A6C06" w:rsidRDefault="003A6C06" w:rsidP="003A6C06">
            <w:pPr>
              <w:rPr>
                <w:rFonts w:asciiTheme="majorHAnsi" w:hAnsiTheme="majorHAnsi" w:cstheme="majorHAnsi"/>
              </w:rPr>
            </w:pPr>
            <w:r w:rsidRPr="003A6C06">
              <w:rPr>
                <w:rFonts w:asciiTheme="majorHAnsi" w:hAnsiTheme="majorHAnsi" w:cstheme="majorHAnsi"/>
              </w:rPr>
              <w:t xml:space="preserve"> </w:t>
            </w:r>
          </w:p>
          <w:p w14:paraId="682789C9" w14:textId="3C382868" w:rsidR="003A6C06" w:rsidRPr="003A6C06" w:rsidRDefault="003A6C06" w:rsidP="003A6C06">
            <w:pPr>
              <w:pStyle w:val="ListParagraph"/>
              <w:numPr>
                <w:ilvl w:val="0"/>
                <w:numId w:val="7"/>
              </w:numPr>
              <w:rPr>
                <w:rFonts w:asciiTheme="majorHAnsi" w:hAnsiTheme="majorHAnsi" w:cstheme="majorHAnsi"/>
              </w:rPr>
            </w:pPr>
            <w:r w:rsidRPr="003A6C06">
              <w:rPr>
                <w:rFonts w:asciiTheme="majorHAnsi" w:hAnsiTheme="majorHAnsi" w:cstheme="majorHAnsi"/>
              </w:rPr>
              <w:t>Teaching assistants (TAs) can support pupils more effectively when they are prepared for lessons by teachers, and when TAs supplement rather than replace support from teachers.</w:t>
            </w:r>
          </w:p>
          <w:p w14:paraId="4FDDDE3A" w14:textId="77777777" w:rsidR="003A6C06" w:rsidRPr="003A6C06" w:rsidRDefault="003A6C06" w:rsidP="003A6C06">
            <w:pPr>
              <w:rPr>
                <w:rFonts w:asciiTheme="majorHAnsi" w:hAnsiTheme="majorHAnsi" w:cstheme="majorHAnsi"/>
              </w:rPr>
            </w:pPr>
          </w:p>
          <w:p w14:paraId="0DA33ABA" w14:textId="5F5F868C" w:rsidR="003A6C06" w:rsidRPr="003A6C06" w:rsidRDefault="003A6C06" w:rsidP="003A6C06">
            <w:pPr>
              <w:pStyle w:val="ListParagraph"/>
              <w:numPr>
                <w:ilvl w:val="0"/>
                <w:numId w:val="7"/>
              </w:numPr>
              <w:rPr>
                <w:rFonts w:asciiTheme="majorHAnsi" w:hAnsiTheme="majorHAnsi" w:cstheme="majorHAnsi"/>
              </w:rPr>
            </w:pPr>
            <w:r w:rsidRPr="003A6C06">
              <w:rPr>
                <w:rFonts w:asciiTheme="majorHAnsi" w:hAnsiTheme="majorHAnsi" w:cstheme="majorHAnsi"/>
              </w:rPr>
              <w:t>Seeking to understand pupils’ differences, including their different levels of prior knowledge and potential barriers to learning, is an essential part of Geography teaching.</w:t>
            </w:r>
          </w:p>
          <w:p w14:paraId="483DB6BA" w14:textId="43F33BF3" w:rsidR="003E0A2E" w:rsidRPr="003A6C06" w:rsidRDefault="003E0A2E" w:rsidP="003A6C06">
            <w:pPr>
              <w:ind w:left="284" w:hanging="227"/>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CCF42AF" w14:textId="1A7544D9" w:rsidR="003A6C06" w:rsidRPr="003A6C06" w:rsidRDefault="003A6C06" w:rsidP="003A6C06">
            <w:pPr>
              <w:pStyle w:val="ListParagraph"/>
              <w:rPr>
                <w:rFonts w:asciiTheme="majorHAnsi" w:hAnsiTheme="majorHAnsi" w:cstheme="majorHAnsi"/>
                <w:sz w:val="22"/>
                <w:szCs w:val="22"/>
              </w:rPr>
            </w:pPr>
            <w:r w:rsidRPr="003A6C06">
              <w:rPr>
                <w:rFonts w:asciiTheme="majorHAnsi" w:hAnsiTheme="majorHAnsi" w:cstheme="majorHAnsi"/>
                <w:sz w:val="22"/>
                <w:szCs w:val="22"/>
              </w:rPr>
              <w:t>Demonstrate activities that can stretch and challenge pupils of all abilities. This may include critically reflecting on the use of modelling and scaffolding.</w:t>
            </w:r>
          </w:p>
          <w:p w14:paraId="20C72489" w14:textId="4B7EACF7" w:rsidR="003A6C06" w:rsidRPr="003A6C06" w:rsidRDefault="003A6C06" w:rsidP="003A6C06">
            <w:pPr>
              <w:pStyle w:val="ListParagraph"/>
              <w:rPr>
                <w:rFonts w:asciiTheme="majorHAnsi" w:hAnsiTheme="majorHAnsi" w:cstheme="majorHAnsi"/>
                <w:sz w:val="22"/>
                <w:szCs w:val="22"/>
              </w:rPr>
            </w:pPr>
            <w:r w:rsidRPr="003A6C06">
              <w:rPr>
                <w:rFonts w:asciiTheme="majorHAnsi" w:hAnsiTheme="majorHAnsi" w:cstheme="majorHAnsi"/>
                <w:sz w:val="22"/>
                <w:szCs w:val="22"/>
              </w:rPr>
              <w:t>Exemplify lessons using the TA’s knowledge and skills to enhance pupil progress.</w:t>
            </w:r>
          </w:p>
          <w:p w14:paraId="52F81868" w14:textId="12D14DE6" w:rsidR="000856A2" w:rsidRPr="0092732C" w:rsidRDefault="003A6C06" w:rsidP="003A6C06">
            <w:pPr>
              <w:pStyle w:val="ListParagraph"/>
            </w:pPr>
            <w:r w:rsidRPr="003A6C06">
              <w:rPr>
                <w:rFonts w:asciiTheme="majorHAnsi" w:hAnsiTheme="majorHAnsi" w:cstheme="majorHAnsi"/>
                <w:sz w:val="22"/>
                <w:szCs w:val="22"/>
              </w:rPr>
              <w:t>Analyse the importance of planning to ensure that support provided by teaching assistants in lessons is additional to, rather than a replacement for, support from the teacher.</w:t>
            </w:r>
            <w:r w:rsidR="009658FF" w:rsidRPr="0092732C">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169E7333" w14:textId="77777777" w:rsidR="003A6C06" w:rsidRPr="003A6C06" w:rsidRDefault="003A6C06" w:rsidP="003A6C06">
            <w:pPr>
              <w:pStyle w:val="ListParagraph"/>
              <w:numPr>
                <w:ilvl w:val="0"/>
                <w:numId w:val="6"/>
              </w:numPr>
              <w:rPr>
                <w:rFonts w:asciiTheme="majorHAnsi" w:hAnsiTheme="majorHAnsi" w:cstheme="majorHAnsi"/>
                <w:sz w:val="22"/>
                <w:szCs w:val="22"/>
              </w:rPr>
            </w:pPr>
            <w:r w:rsidRPr="003A6C06">
              <w:rPr>
                <w:rFonts w:asciiTheme="majorHAnsi" w:hAnsiTheme="majorHAnsi" w:cstheme="majorHAnsi"/>
                <w:sz w:val="22"/>
                <w:szCs w:val="22"/>
              </w:rPr>
              <w:t xml:space="preserve">How can you ensure that the support provided by teaching assistants in your lessons is additional to, rather than a replacement for, your own support as the teacher? </w:t>
            </w:r>
          </w:p>
          <w:p w14:paraId="57B6176F" w14:textId="77777777" w:rsidR="003A6C06" w:rsidRPr="003A6C06" w:rsidRDefault="003A6C06" w:rsidP="003A6C06">
            <w:pPr>
              <w:rPr>
                <w:rFonts w:asciiTheme="majorHAnsi" w:hAnsiTheme="majorHAnsi" w:cstheme="majorHAnsi"/>
              </w:rPr>
            </w:pPr>
          </w:p>
          <w:p w14:paraId="7FADE818" w14:textId="77777777" w:rsidR="003A6C06" w:rsidRPr="003A6C06" w:rsidRDefault="003A6C06" w:rsidP="003A6C06">
            <w:pPr>
              <w:pStyle w:val="ListParagraph"/>
              <w:numPr>
                <w:ilvl w:val="0"/>
                <w:numId w:val="6"/>
              </w:numPr>
              <w:rPr>
                <w:rFonts w:asciiTheme="majorHAnsi" w:hAnsiTheme="majorHAnsi" w:cstheme="majorHAnsi"/>
                <w:sz w:val="22"/>
                <w:szCs w:val="22"/>
              </w:rPr>
            </w:pPr>
            <w:r w:rsidRPr="003A6C06">
              <w:rPr>
                <w:rFonts w:asciiTheme="majorHAnsi" w:hAnsiTheme="majorHAnsi" w:cstheme="majorHAnsi"/>
                <w:sz w:val="22"/>
                <w:szCs w:val="22"/>
              </w:rPr>
              <w:t>How do you differentiate instruction to stretch and challenge pupils of varying abilities in Geography? Evaluate an example of an activity that has worked well.</w:t>
            </w:r>
          </w:p>
          <w:p w14:paraId="371D24FC" w14:textId="47B91991" w:rsidR="000856A2" w:rsidRPr="0092732C" w:rsidRDefault="000856A2" w:rsidP="00426D76">
            <w:pPr>
              <w:pBdr>
                <w:top w:val="nil"/>
                <w:left w:val="nil"/>
                <w:bottom w:val="nil"/>
                <w:right w:val="nil"/>
                <w:between w:val="nil"/>
              </w:pBdr>
              <w:autoSpaceDE w:val="0"/>
              <w:autoSpaceDN w:val="0"/>
              <w:ind w:left="360"/>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3A43" w14:textId="77777777" w:rsidR="00877C20" w:rsidRDefault="00877C20">
      <w:pPr>
        <w:spacing w:after="0" w:line="240" w:lineRule="auto"/>
      </w:pPr>
      <w:r>
        <w:separator/>
      </w:r>
    </w:p>
  </w:endnote>
  <w:endnote w:type="continuationSeparator" w:id="0">
    <w:p w14:paraId="71612636" w14:textId="77777777" w:rsidR="00877C20" w:rsidRDefault="008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9BBF" w14:textId="77777777" w:rsidR="00877C20" w:rsidRDefault="00877C20">
      <w:pPr>
        <w:spacing w:after="0" w:line="240" w:lineRule="auto"/>
      </w:pPr>
      <w:r>
        <w:separator/>
      </w:r>
    </w:p>
  </w:footnote>
  <w:footnote w:type="continuationSeparator" w:id="0">
    <w:p w14:paraId="4270F8DB" w14:textId="77777777" w:rsidR="00877C20" w:rsidRDefault="008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85A5C"/>
    <w:multiLevelType w:val="hybridMultilevel"/>
    <w:tmpl w:val="25E068D8"/>
    <w:lvl w:ilvl="0" w:tplc="F15E601A">
      <w:numFmt w:val="bullet"/>
      <w:lvlText w:val=""/>
      <w:lvlJc w:val="left"/>
      <w:pPr>
        <w:ind w:left="720" w:hanging="360"/>
      </w:pPr>
      <w:rPr>
        <w:rFonts w:ascii="Symbol" w:eastAsia="Calibr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4"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1"/>
  </w:num>
  <w:num w:numId="2" w16cid:durableId="1181966182">
    <w:abstractNumId w:val="3"/>
  </w:num>
  <w:num w:numId="3" w16cid:durableId="56052816">
    <w:abstractNumId w:val="4"/>
  </w:num>
  <w:num w:numId="4" w16cid:durableId="137890287">
    <w:abstractNumId w:val="2"/>
  </w:num>
  <w:num w:numId="5" w16cid:durableId="1397431522">
    <w:abstractNumId w:val="6"/>
  </w:num>
  <w:num w:numId="6" w16cid:durableId="757794101">
    <w:abstractNumId w:val="5"/>
  </w:num>
  <w:num w:numId="7" w16cid:durableId="8828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2875FA"/>
    <w:rsid w:val="002D4D6B"/>
    <w:rsid w:val="00310BDC"/>
    <w:rsid w:val="00351B5C"/>
    <w:rsid w:val="003760AE"/>
    <w:rsid w:val="003A6C06"/>
    <w:rsid w:val="003E0A2E"/>
    <w:rsid w:val="003E55C8"/>
    <w:rsid w:val="003F366C"/>
    <w:rsid w:val="00426D76"/>
    <w:rsid w:val="00430307"/>
    <w:rsid w:val="004633F3"/>
    <w:rsid w:val="00483A31"/>
    <w:rsid w:val="0048415A"/>
    <w:rsid w:val="00500E6E"/>
    <w:rsid w:val="005825BA"/>
    <w:rsid w:val="005A1B78"/>
    <w:rsid w:val="005C08D3"/>
    <w:rsid w:val="005C704E"/>
    <w:rsid w:val="00652EB1"/>
    <w:rsid w:val="00655CB2"/>
    <w:rsid w:val="00721ABE"/>
    <w:rsid w:val="007A1D10"/>
    <w:rsid w:val="007A48B5"/>
    <w:rsid w:val="007A7AD0"/>
    <w:rsid w:val="007E7393"/>
    <w:rsid w:val="0080537A"/>
    <w:rsid w:val="00877C20"/>
    <w:rsid w:val="008837DE"/>
    <w:rsid w:val="008A1D8B"/>
    <w:rsid w:val="008E0FD0"/>
    <w:rsid w:val="0092732C"/>
    <w:rsid w:val="00960F29"/>
    <w:rsid w:val="009658FF"/>
    <w:rsid w:val="0097075A"/>
    <w:rsid w:val="00B1691E"/>
    <w:rsid w:val="00B73B79"/>
    <w:rsid w:val="00BD6AF6"/>
    <w:rsid w:val="00C47E95"/>
    <w:rsid w:val="00C61311"/>
    <w:rsid w:val="00C950D2"/>
    <w:rsid w:val="00C955DB"/>
    <w:rsid w:val="00CB46B9"/>
    <w:rsid w:val="00D00619"/>
    <w:rsid w:val="00D0405B"/>
    <w:rsid w:val="00D136B6"/>
    <w:rsid w:val="00D47AD6"/>
    <w:rsid w:val="00D515F1"/>
    <w:rsid w:val="00DC14F7"/>
    <w:rsid w:val="00E527F3"/>
    <w:rsid w:val="00EA4289"/>
    <w:rsid w:val="00F176B1"/>
    <w:rsid w:val="00F55DCF"/>
    <w:rsid w:val="00F63F5E"/>
    <w:rsid w:val="00F66B52"/>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ite/initial-teacher-education/geography-support-for-trainees-and-ects/learning-to-teach-secondary-geography/inclusion-and-adaptation/teaching-students-with-different-learning-need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teaching-assistants"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Props1.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2.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Looker</dc:creator>
  <cp:lastModifiedBy>Andrew Watkins</cp:lastModifiedBy>
  <cp:revision>9</cp:revision>
  <dcterms:created xsi:type="dcterms:W3CDTF">2024-02-01T15:45:00Z</dcterms:created>
  <dcterms:modified xsi:type="dcterms:W3CDTF">2024-02-07T16:45:00Z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