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11481" w:type="dxa"/>
        <w:tblInd w:w="-436" w:type="dxa"/>
        <w:tblCellMar>
          <w:top w:w="145" w:type="dxa"/>
          <w:left w:w="98" w:type="dxa"/>
          <w:right w:w="68" w:type="dxa"/>
        </w:tblCellMar>
        <w:tblLook w:val="04A0" w:firstRow="1" w:lastRow="0" w:firstColumn="1" w:lastColumn="0" w:noHBand="0" w:noVBand="1"/>
      </w:tblPr>
      <w:tblGrid>
        <w:gridCol w:w="1790"/>
        <w:gridCol w:w="905"/>
        <w:gridCol w:w="1687"/>
        <w:gridCol w:w="1133"/>
        <w:gridCol w:w="557"/>
        <w:gridCol w:w="516"/>
        <w:gridCol w:w="1203"/>
        <w:gridCol w:w="575"/>
        <w:gridCol w:w="1124"/>
        <w:gridCol w:w="1192"/>
        <w:gridCol w:w="142"/>
        <w:gridCol w:w="657"/>
      </w:tblGrid>
      <w:tr w:rsidRPr="00F07217" w:rsidR="00BB0205" w:rsidTr="3AD6CA30" w14:paraId="31D4C3CB" w14:textId="77777777">
        <w:trPr>
          <w:trHeight w:val="680"/>
        </w:trPr>
        <w:tc>
          <w:tcPr>
            <w:tcW w:w="11481" w:type="dxa"/>
            <w:gridSpan w:val="12"/>
            <w:tcBorders>
              <w:top w:val="single" w:color="auto" w:sz="4" w:space="0"/>
              <w:left w:val="single" w:color="auto" w:sz="4" w:space="0"/>
              <w:bottom w:val="single" w:color="auto" w:sz="4" w:space="0"/>
              <w:right w:val="single" w:color="auto" w:sz="4" w:space="0"/>
            </w:tcBorders>
            <w:shd w:val="clear" w:color="auto" w:fill="7030A0"/>
            <w:tcMar/>
          </w:tcPr>
          <w:p w:rsidR="00B56665" w:rsidP="00B56665" w:rsidRDefault="00BB0205" w14:paraId="02022685" w14:textId="77777777">
            <w:pPr>
              <w:jc w:val="center"/>
              <w:rPr>
                <w:rFonts w:ascii="Cambria" w:hAnsi="Cambria" w:eastAsia="Georgia" w:cs="Georgia"/>
                <w:b/>
                <w:color w:val="FFFFFF" w:themeColor="background1"/>
                <w:sz w:val="20"/>
                <w:szCs w:val="20"/>
              </w:rPr>
            </w:pPr>
            <w:bookmarkStart w:name="_Hlk86825635" w:id="0"/>
            <w:r w:rsidRPr="00523D39">
              <w:rPr>
                <w:rFonts w:ascii="Cambria" w:hAnsi="Cambria" w:eastAsia="Georgia" w:cs="Georgia"/>
                <w:b/>
                <w:color w:val="FFFFFF" w:themeColor="background1"/>
                <w:sz w:val="20"/>
                <w:szCs w:val="20"/>
              </w:rPr>
              <w:t xml:space="preserve">Welcome to the mentor </w:t>
            </w:r>
            <w:r w:rsidRPr="00523D39" w:rsidR="00FE47C3">
              <w:rPr>
                <w:rFonts w:ascii="Cambria" w:hAnsi="Cambria" w:eastAsia="Georgia" w:cs="Georgia"/>
                <w:b/>
                <w:color w:val="FFFFFF" w:themeColor="background1"/>
                <w:sz w:val="20"/>
                <w:szCs w:val="20"/>
              </w:rPr>
              <w:t>Weekly Development Summary</w:t>
            </w:r>
            <w:r w:rsidRPr="00523D39">
              <w:rPr>
                <w:rFonts w:ascii="Cambria" w:hAnsi="Cambria" w:eastAsia="Georgia" w:cs="Georgia"/>
                <w:b/>
                <w:color w:val="FFFFFF" w:themeColor="background1"/>
                <w:sz w:val="20"/>
                <w:szCs w:val="20"/>
              </w:rPr>
              <w:t xml:space="preserve"> from the</w:t>
            </w:r>
          </w:p>
          <w:p w:rsidRPr="00B56665" w:rsidR="006102D0" w:rsidP="2A634077" w:rsidRDefault="00BB0205" w14:paraId="2E8EA821" w14:textId="525A860B">
            <w:pPr>
              <w:jc w:val="center"/>
              <w:rPr>
                <w:rFonts w:ascii="Cambria" w:hAnsi="Cambria" w:eastAsia="Georgia" w:cs="Georgia"/>
                <w:b w:val="1"/>
                <w:bCs w:val="1"/>
                <w:color w:val="FFFFFF" w:themeColor="background1"/>
                <w:sz w:val="20"/>
                <w:szCs w:val="20"/>
              </w:rPr>
            </w:pPr>
            <w:r w:rsidRPr="3AD6CA30" w:rsidR="00BB0205">
              <w:rPr>
                <w:rFonts w:ascii="Cambria" w:hAnsi="Cambria" w:eastAsia="Georgia" w:cs="Georgia"/>
                <w:b w:val="1"/>
                <w:bCs w:val="1"/>
                <w:color w:val="FFFFFF" w:themeColor="background1" w:themeTint="FF" w:themeShade="FF"/>
                <w:sz w:val="20"/>
                <w:szCs w:val="20"/>
              </w:rPr>
              <w:t xml:space="preserve"> Department of Secondary and Further Education</w:t>
            </w:r>
            <w:r w:rsidRPr="3AD6CA30" w:rsidR="00966A4C">
              <w:rPr>
                <w:rFonts w:ascii="Cambria" w:hAnsi="Cambria" w:eastAsia="Georgia" w:cs="Georgia"/>
                <w:b w:val="1"/>
                <w:bCs w:val="1"/>
                <w:color w:val="FFFFFF" w:themeColor="background1" w:themeTint="FF" w:themeShade="FF"/>
                <w:sz w:val="20"/>
                <w:szCs w:val="20"/>
              </w:rPr>
              <w:t xml:space="preserve"> (AY 2</w:t>
            </w:r>
            <w:r w:rsidRPr="3AD6CA30" w:rsidR="002D71BC">
              <w:rPr>
                <w:rFonts w:ascii="Cambria" w:hAnsi="Cambria" w:eastAsia="Georgia" w:cs="Georgia"/>
                <w:b w:val="1"/>
                <w:bCs w:val="1"/>
                <w:color w:val="FFFFFF" w:themeColor="background1" w:themeTint="FF" w:themeShade="FF"/>
                <w:sz w:val="20"/>
                <w:szCs w:val="20"/>
              </w:rPr>
              <w:t>3</w:t>
            </w:r>
            <w:r w:rsidRPr="3AD6CA30" w:rsidR="00966A4C">
              <w:rPr>
                <w:rFonts w:ascii="Cambria" w:hAnsi="Cambria" w:eastAsia="Georgia" w:cs="Georgia"/>
                <w:b w:val="1"/>
                <w:bCs w:val="1"/>
                <w:color w:val="FFFFFF" w:themeColor="background1" w:themeTint="FF" w:themeShade="FF"/>
                <w:sz w:val="20"/>
                <w:szCs w:val="20"/>
              </w:rPr>
              <w:t>/2</w:t>
            </w:r>
            <w:r w:rsidRPr="3AD6CA30" w:rsidR="002D71BC">
              <w:rPr>
                <w:rFonts w:ascii="Cambria" w:hAnsi="Cambria" w:eastAsia="Georgia" w:cs="Georgia"/>
                <w:b w:val="1"/>
                <w:bCs w:val="1"/>
                <w:color w:val="FFFFFF" w:themeColor="background1" w:themeTint="FF" w:themeShade="FF"/>
                <w:sz w:val="20"/>
                <w:szCs w:val="20"/>
              </w:rPr>
              <w:t>4</w:t>
            </w:r>
            <w:r w:rsidRPr="3AD6CA30" w:rsidR="00966A4C">
              <w:rPr>
                <w:rFonts w:ascii="Cambria" w:hAnsi="Cambria" w:eastAsia="Georgia" w:cs="Georgia"/>
                <w:b w:val="1"/>
                <w:bCs w:val="1"/>
                <w:color w:val="FFFFFF" w:themeColor="background1" w:themeTint="FF" w:themeShade="FF"/>
                <w:sz w:val="20"/>
                <w:szCs w:val="20"/>
              </w:rPr>
              <w:t>)</w:t>
            </w:r>
            <w:r w:rsidRPr="3AD6CA30" w:rsidR="00B56665">
              <w:rPr>
                <w:rFonts w:ascii="Cambria" w:hAnsi="Cambria" w:eastAsia="Georgia" w:cs="Georgia"/>
                <w:b w:val="1"/>
                <w:bCs w:val="1"/>
                <w:color w:val="FFFFFF" w:themeColor="background1" w:themeTint="FF" w:themeShade="FF"/>
                <w:sz w:val="20"/>
                <w:szCs w:val="20"/>
              </w:rPr>
              <w:t xml:space="preserve"> </w:t>
            </w:r>
            <w:r w:rsidRPr="3AD6CA30" w:rsidR="006102D0">
              <w:rPr>
                <w:rFonts w:ascii="Cambria" w:hAnsi="Cambria" w:eastAsia="Georgia" w:cs="Georgia"/>
                <w:b w:val="1"/>
                <w:bCs w:val="1"/>
                <w:color w:val="FFFFFF" w:themeColor="background1" w:themeTint="FF" w:themeShade="FF"/>
                <w:sz w:val="20"/>
                <w:szCs w:val="20"/>
              </w:rPr>
              <w:t xml:space="preserve">Week </w:t>
            </w:r>
            <w:r w:rsidRPr="3AD6CA30" w:rsidR="76E655BB">
              <w:rPr>
                <w:rFonts w:ascii="Cambria" w:hAnsi="Cambria" w:eastAsia="Georgia" w:cs="Georgia"/>
                <w:b w:val="1"/>
                <w:bCs w:val="1"/>
                <w:color w:val="FFFFFF" w:themeColor="background1" w:themeTint="FF" w:themeShade="FF"/>
                <w:sz w:val="20"/>
                <w:szCs w:val="20"/>
              </w:rPr>
              <w:t>2</w:t>
            </w:r>
            <w:r w:rsidRPr="3AD6CA30" w:rsidR="76E4ADDE">
              <w:rPr>
                <w:rFonts w:ascii="Cambria" w:hAnsi="Cambria" w:eastAsia="Georgia" w:cs="Georgia"/>
                <w:b w:val="1"/>
                <w:bCs w:val="1"/>
                <w:color w:val="FFFFFF" w:themeColor="background1" w:themeTint="FF" w:themeShade="FF"/>
                <w:sz w:val="20"/>
                <w:szCs w:val="20"/>
              </w:rPr>
              <w:t>6</w:t>
            </w:r>
          </w:p>
        </w:tc>
      </w:tr>
      <w:tr w:rsidRPr="00F07217" w:rsidR="00E65DEB" w:rsidTr="3AD6CA30" w14:paraId="691F8551" w14:textId="77777777">
        <w:trPr>
          <w:trHeight w:val="650"/>
        </w:trPr>
        <w:tc>
          <w:tcPr>
            <w:tcW w:w="11481" w:type="dxa"/>
            <w:gridSpan w:val="12"/>
            <w:tcBorders>
              <w:top w:val="single" w:color="auto" w:sz="4" w:space="0"/>
              <w:left w:val="single" w:color="auto" w:sz="4" w:space="0"/>
              <w:bottom w:val="single" w:color="auto" w:sz="4" w:space="0"/>
              <w:right w:val="single" w:color="auto" w:sz="4" w:space="0"/>
            </w:tcBorders>
            <w:shd w:val="clear" w:color="auto" w:fill="FFFF00"/>
            <w:tcMar/>
          </w:tcPr>
          <w:p w:rsidRPr="00523D39" w:rsidR="00E65DEB" w:rsidRDefault="00606867" w14:paraId="052E0933" w14:textId="378942E4">
            <w:pPr>
              <w:jc w:val="both"/>
              <w:rPr>
                <w:rFonts w:ascii="Cambria" w:hAnsi="Cambria"/>
                <w:b/>
                <w:bCs/>
                <w:sz w:val="20"/>
                <w:szCs w:val="20"/>
              </w:rPr>
            </w:pPr>
            <w:r w:rsidRPr="00523D39">
              <w:rPr>
                <w:rFonts w:ascii="Cambria" w:hAnsi="Cambria"/>
                <w:b/>
                <w:bCs/>
                <w:sz w:val="20"/>
                <w:szCs w:val="20"/>
              </w:rPr>
              <w:t>Course:</w:t>
            </w:r>
            <w:r w:rsidRPr="00523D39" w:rsidR="00866227">
              <w:rPr>
                <w:rFonts w:ascii="Cambria" w:hAnsi="Cambria"/>
                <w:b/>
                <w:bCs/>
                <w:sz w:val="20"/>
                <w:szCs w:val="20"/>
              </w:rPr>
              <w:t xml:space="preserve"> </w:t>
            </w:r>
            <w:r w:rsidR="00B56665">
              <w:rPr>
                <w:rFonts w:ascii="Cambria" w:hAnsi="Cambria"/>
                <w:b/>
                <w:bCs/>
                <w:sz w:val="20"/>
                <w:szCs w:val="20"/>
              </w:rPr>
              <w:t>RE PGCE</w:t>
            </w:r>
          </w:p>
          <w:p w:rsidRPr="00523D39" w:rsidR="00AE0D6F" w:rsidP="009D30D2" w:rsidRDefault="00EE1D6A" w14:paraId="69F14CE3" w14:textId="3F574C10">
            <w:pPr>
              <w:jc w:val="center"/>
              <w:rPr>
                <w:rFonts w:ascii="Cambria" w:hAnsi="Cambria"/>
                <w:b/>
                <w:bCs/>
                <w:sz w:val="20"/>
                <w:szCs w:val="20"/>
              </w:rPr>
            </w:pPr>
            <w:r w:rsidRPr="00523D39">
              <w:rPr>
                <w:rFonts w:ascii="Cambria" w:hAnsi="Cambria"/>
                <w:b/>
                <w:bCs/>
                <w:sz w:val="20"/>
                <w:szCs w:val="20"/>
              </w:rPr>
              <w:t xml:space="preserve"> </w:t>
            </w:r>
            <w:r w:rsidRPr="00523D39" w:rsidR="009D30D2">
              <w:rPr>
                <w:rFonts w:ascii="Cambria" w:hAnsi="Cambria"/>
                <w:b/>
                <w:bCs/>
                <w:sz w:val="20"/>
                <w:szCs w:val="20"/>
              </w:rPr>
              <w:t>‘Working creatively with others to enhance life chances’</w:t>
            </w:r>
          </w:p>
        </w:tc>
      </w:tr>
      <w:tr w:rsidRPr="00F07217" w:rsidR="004009A7" w:rsidTr="3AD6CA30" w14:paraId="06170D5F" w14:textId="77777777">
        <w:trPr>
          <w:trHeight w:val="126"/>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CD2C8F6" w14:textId="5D848E3C">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D745CE3" w14:textId="77777777">
            <w:pPr>
              <w:jc w:val="both"/>
              <w:rPr>
                <w:rFonts w:ascii="Cambria" w:hAnsi="Cambria"/>
                <w:b/>
                <w:bCs/>
                <w:sz w:val="20"/>
                <w:szCs w:val="20"/>
              </w:rPr>
            </w:pP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141C29F0" w14:textId="3FCFA465">
            <w:pPr>
              <w:jc w:val="both"/>
              <w:rPr>
                <w:rFonts w:ascii="Cambria" w:hAnsi="Cambria"/>
                <w:b/>
                <w:bCs/>
                <w:sz w:val="20"/>
                <w:szCs w:val="20"/>
              </w:rPr>
            </w:pPr>
            <w:r w:rsidRPr="00523D39">
              <w:rPr>
                <w:rFonts w:ascii="Cambria" w:hAnsi="Cambria"/>
                <w:b/>
                <w:bCs/>
                <w:sz w:val="20"/>
                <w:szCs w:val="20"/>
              </w:rPr>
              <w:t>Trainee ID no.</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949FA60" w14:textId="3FE2047B">
            <w:pPr>
              <w:jc w:val="both"/>
              <w:rPr>
                <w:rFonts w:ascii="Cambria" w:hAnsi="Cambria"/>
                <w:b/>
                <w:bCs/>
                <w:sz w:val="20"/>
                <w:szCs w:val="20"/>
              </w:rPr>
            </w:pPr>
          </w:p>
        </w:tc>
      </w:tr>
      <w:tr w:rsidRPr="00F07217" w:rsidR="004009A7" w:rsidTr="3AD6CA30" w14:paraId="7196D986"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449CC42" w14:textId="1934EA31">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E2DD972" w14:textId="77777777">
            <w:pPr>
              <w:jc w:val="both"/>
              <w:rPr>
                <w:rFonts w:ascii="Cambria" w:hAnsi="Cambria"/>
                <w:b/>
                <w:bCs/>
                <w:sz w:val="20"/>
                <w:szCs w:val="20"/>
              </w:rPr>
            </w:pP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0FFB993F" w14:textId="02556042">
            <w:pPr>
              <w:jc w:val="both"/>
              <w:rPr>
                <w:rFonts w:ascii="Cambria" w:hAnsi="Cambria"/>
                <w:b/>
                <w:bCs/>
                <w:sz w:val="20"/>
                <w:szCs w:val="20"/>
              </w:rPr>
            </w:pPr>
            <w:r w:rsidRPr="00523D39">
              <w:rPr>
                <w:rFonts w:ascii="Cambria" w:hAnsi="Cambria"/>
                <w:b/>
                <w:bCs/>
                <w:sz w:val="20"/>
                <w:szCs w:val="20"/>
              </w:rPr>
              <w:t>Professional Practice phase</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P="76DCAA32" w:rsidRDefault="20A2760A" w14:paraId="7061C386" w14:textId="234376BB">
            <w:pPr>
              <w:spacing w:line="259" w:lineRule="auto"/>
              <w:jc w:val="both"/>
            </w:pPr>
            <w:r w:rsidRPr="76DCAA32">
              <w:rPr>
                <w:rFonts w:ascii="Cambria" w:hAnsi="Cambria"/>
                <w:b/>
                <w:bCs/>
                <w:sz w:val="20"/>
                <w:szCs w:val="20"/>
              </w:rPr>
              <w:t>Developmental (B)</w:t>
            </w:r>
          </w:p>
        </w:tc>
      </w:tr>
      <w:tr w:rsidRPr="00F07217" w:rsidR="004009A7" w:rsidTr="3AD6CA30" w14:paraId="4FBA03EC"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5AC0749B" w14:textId="5072B3EB">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244641AB" w14:textId="4EAA3E1C">
            <w:pPr>
              <w:jc w:val="both"/>
              <w:rPr>
                <w:rFonts w:ascii="Cambria" w:hAnsi="Cambria"/>
                <w:b/>
                <w:bCs/>
                <w:sz w:val="20"/>
                <w:szCs w:val="20"/>
              </w:rPr>
            </w:pPr>
            <w:r>
              <w:rPr>
                <w:rFonts w:ascii="Cambria" w:hAnsi="Cambria"/>
                <w:b/>
                <w:bCs/>
                <w:sz w:val="20"/>
                <w:szCs w:val="20"/>
              </w:rPr>
              <w:t>Heather Marshall</w:t>
            </w: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3651F684" w14:textId="4EB0854D">
            <w:pPr>
              <w:jc w:val="both"/>
              <w:rPr>
                <w:rFonts w:ascii="Cambria" w:hAnsi="Cambria"/>
                <w:b/>
                <w:bCs/>
                <w:sz w:val="20"/>
                <w:szCs w:val="20"/>
              </w:rPr>
            </w:pPr>
            <w:r w:rsidRPr="00523D39">
              <w:rPr>
                <w:rFonts w:ascii="Cambria" w:hAnsi="Cambria"/>
                <w:b/>
                <w:bCs/>
                <w:sz w:val="20"/>
                <w:szCs w:val="20"/>
              </w:rPr>
              <w:t>Name of setting</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4323CE9C" w14:textId="006C6DE4">
            <w:pPr>
              <w:jc w:val="both"/>
              <w:rPr>
                <w:rFonts w:ascii="Cambria" w:hAnsi="Cambria"/>
                <w:b/>
                <w:bCs/>
                <w:sz w:val="20"/>
                <w:szCs w:val="20"/>
              </w:rPr>
            </w:pPr>
          </w:p>
        </w:tc>
      </w:tr>
      <w:tr w:rsidRPr="00F07217" w:rsidR="004009A7" w:rsidTr="3AD6CA30" w14:paraId="4FA3BD19"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2D91E0C7" w14:textId="38D0AB5A">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B56665" w14:paraId="5068FCC5" w14:textId="036EDF8D">
            <w:pPr>
              <w:jc w:val="both"/>
              <w:rPr>
                <w:rFonts w:ascii="Cambria" w:hAnsi="Cambria"/>
                <w:b/>
                <w:bCs/>
                <w:sz w:val="20"/>
                <w:szCs w:val="20"/>
              </w:rPr>
            </w:pPr>
            <w:r>
              <w:rPr>
                <w:rFonts w:ascii="Cambria" w:hAnsi="Cambria"/>
                <w:b/>
                <w:bCs/>
                <w:sz w:val="20"/>
                <w:szCs w:val="20"/>
              </w:rPr>
              <w:t>RE PGCE</w:t>
            </w:r>
          </w:p>
        </w:tc>
        <w:tc>
          <w:tcPr>
            <w:tcW w:w="2851"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004009A7" w14:paraId="66B60088" w14:textId="68058C76">
            <w:pPr>
              <w:jc w:val="both"/>
              <w:rPr>
                <w:rFonts w:ascii="Cambria" w:hAnsi="Cambria"/>
                <w:b/>
                <w:bCs/>
                <w:sz w:val="20"/>
                <w:szCs w:val="20"/>
              </w:rPr>
            </w:pPr>
            <w:r w:rsidRPr="00523D39">
              <w:rPr>
                <w:rFonts w:ascii="Cambria" w:hAnsi="Cambria"/>
                <w:b/>
                <w:bCs/>
                <w:sz w:val="20"/>
                <w:szCs w:val="20"/>
              </w:rPr>
              <w:t>Week beginning</w:t>
            </w:r>
          </w:p>
        </w:tc>
        <w:tc>
          <w:tcPr>
            <w:tcW w:w="3115" w:type="dxa"/>
            <w:gridSpan w:val="4"/>
            <w:tcBorders>
              <w:top w:val="single" w:color="auto" w:sz="4" w:space="0"/>
              <w:left w:val="single" w:color="auto" w:sz="4" w:space="0"/>
              <w:bottom w:val="single" w:color="auto" w:sz="4" w:space="0"/>
              <w:right w:val="single" w:color="auto" w:sz="4" w:space="0"/>
            </w:tcBorders>
            <w:shd w:val="clear" w:color="auto" w:fill="auto"/>
            <w:tcMar/>
          </w:tcPr>
          <w:p w:rsidRPr="00523D39" w:rsidR="004009A7" w:rsidRDefault="11477072" w14:paraId="2E3558FD" w14:textId="4F3B9D18">
            <w:pPr>
              <w:jc w:val="both"/>
              <w:rPr>
                <w:rFonts w:ascii="Cambria" w:hAnsi="Cambria"/>
                <w:b/>
                <w:bCs/>
                <w:sz w:val="20"/>
                <w:szCs w:val="20"/>
              </w:rPr>
            </w:pPr>
            <w:r w:rsidRPr="309CE7CB">
              <w:rPr>
                <w:rFonts w:ascii="Cambria" w:hAnsi="Cambria"/>
                <w:b/>
                <w:bCs/>
                <w:sz w:val="20"/>
                <w:szCs w:val="20"/>
              </w:rPr>
              <w:t>19</w:t>
            </w:r>
            <w:r w:rsidRPr="309CE7CB" w:rsidR="7D650DFE">
              <w:rPr>
                <w:rFonts w:ascii="Cambria" w:hAnsi="Cambria"/>
                <w:b/>
                <w:bCs/>
                <w:sz w:val="20"/>
                <w:szCs w:val="20"/>
              </w:rPr>
              <w:t>/</w:t>
            </w:r>
            <w:r w:rsidRPr="309CE7CB" w:rsidR="775543F0">
              <w:rPr>
                <w:rFonts w:ascii="Cambria" w:hAnsi="Cambria"/>
                <w:b/>
                <w:bCs/>
                <w:sz w:val="20"/>
                <w:szCs w:val="20"/>
              </w:rPr>
              <w:t>0</w:t>
            </w:r>
            <w:r w:rsidRPr="309CE7CB" w:rsidR="00E13000">
              <w:rPr>
                <w:rFonts w:ascii="Cambria" w:hAnsi="Cambria"/>
                <w:b/>
                <w:bCs/>
                <w:sz w:val="20"/>
                <w:szCs w:val="20"/>
              </w:rPr>
              <w:t>2</w:t>
            </w:r>
            <w:r w:rsidRPr="309CE7CB" w:rsidR="5ABA93A9">
              <w:rPr>
                <w:rFonts w:ascii="Cambria" w:hAnsi="Cambria"/>
                <w:b/>
                <w:bCs/>
                <w:sz w:val="20"/>
                <w:szCs w:val="20"/>
              </w:rPr>
              <w:t>/202</w:t>
            </w:r>
            <w:r w:rsidRPr="309CE7CB" w:rsidR="28D22E12">
              <w:rPr>
                <w:rFonts w:ascii="Cambria" w:hAnsi="Cambria"/>
                <w:b/>
                <w:bCs/>
                <w:sz w:val="20"/>
                <w:szCs w:val="20"/>
              </w:rPr>
              <w:t>4</w:t>
            </w:r>
          </w:p>
        </w:tc>
      </w:tr>
      <w:tr w:rsidRPr="00F07217" w:rsidR="001506CA" w:rsidTr="3AD6CA30" w14:paraId="25B9C3C9" w14:textId="77777777">
        <w:trPr>
          <w:trHeight w:val="123"/>
        </w:trPr>
        <w:tc>
          <w:tcPr>
            <w:tcW w:w="2695"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005113AE" w:rsidRDefault="001506CA" w14:paraId="7EF7721D" w14:textId="710BC591">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1506CA" w14:paraId="02A5213D" w14:textId="596149F4">
            <w:pPr>
              <w:jc w:val="center"/>
              <w:rPr>
                <w:rFonts w:ascii="Cambria" w:hAnsi="Cambria"/>
                <w:b/>
                <w:bCs/>
                <w:sz w:val="20"/>
                <w:szCs w:val="20"/>
                <w:highlight w:val="yellow"/>
              </w:rPr>
            </w:pPr>
            <w:r w:rsidRPr="63B9B6B1">
              <w:rPr>
                <w:rFonts w:ascii="Cambria" w:hAnsi="Cambria"/>
                <w:b/>
                <w:bCs/>
                <w:sz w:val="20"/>
                <w:szCs w:val="20"/>
                <w:highlight w:val="yellow"/>
              </w:rPr>
              <w:t>M</w:t>
            </w:r>
            <w:r w:rsidRPr="63B9B6B1" w:rsidR="005113AE">
              <w:rPr>
                <w:rFonts w:ascii="Cambria" w:hAnsi="Cambria"/>
                <w:b/>
                <w:bCs/>
                <w:sz w:val="20"/>
                <w:szCs w:val="20"/>
                <w:highlight w:val="yellow"/>
              </w:rPr>
              <w:t>onday</w:t>
            </w:r>
          </w:p>
        </w:tc>
        <w:tc>
          <w:tcPr>
            <w:tcW w:w="1690"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13F8C042" w14:textId="5CF285E3">
            <w:pPr>
              <w:jc w:val="center"/>
              <w:rPr>
                <w:rFonts w:ascii="Cambria" w:hAnsi="Cambria"/>
                <w:b/>
                <w:bCs/>
                <w:sz w:val="20"/>
                <w:szCs w:val="20"/>
                <w:highlight w:val="yellow"/>
              </w:rPr>
            </w:pPr>
            <w:r w:rsidRPr="63B9B6B1">
              <w:rPr>
                <w:rFonts w:ascii="Cambria" w:hAnsi="Cambria"/>
                <w:b/>
                <w:bCs/>
                <w:sz w:val="20"/>
                <w:szCs w:val="20"/>
                <w:highlight w:val="yellow"/>
              </w:rPr>
              <w:t>Tuesday</w:t>
            </w:r>
          </w:p>
        </w:tc>
        <w:tc>
          <w:tcPr>
            <w:tcW w:w="1719"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48F46611" w14:textId="7F56CFAC">
            <w:pPr>
              <w:jc w:val="center"/>
              <w:rPr>
                <w:rFonts w:ascii="Cambria" w:hAnsi="Cambria"/>
                <w:b/>
                <w:bCs/>
                <w:sz w:val="20"/>
                <w:szCs w:val="20"/>
                <w:highlight w:val="yellow"/>
              </w:rPr>
            </w:pPr>
            <w:r w:rsidRPr="63B9B6B1">
              <w:rPr>
                <w:rFonts w:ascii="Cambria" w:hAnsi="Cambria"/>
                <w:b/>
                <w:bCs/>
                <w:sz w:val="20"/>
                <w:szCs w:val="20"/>
                <w:highlight w:val="yellow"/>
              </w:rPr>
              <w:t>Wednesday</w:t>
            </w:r>
          </w:p>
        </w:tc>
        <w:tc>
          <w:tcPr>
            <w:tcW w:w="1699" w:type="dxa"/>
            <w:gridSpan w:val="2"/>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62FC6C98" w14:textId="6FCE8062">
            <w:pPr>
              <w:jc w:val="center"/>
              <w:rPr>
                <w:rFonts w:ascii="Cambria" w:hAnsi="Cambria"/>
                <w:b/>
                <w:bCs/>
                <w:sz w:val="20"/>
                <w:szCs w:val="20"/>
                <w:highlight w:val="yellow"/>
              </w:rPr>
            </w:pPr>
            <w:r w:rsidRPr="63B9B6B1">
              <w:rPr>
                <w:rFonts w:ascii="Cambria" w:hAnsi="Cambria"/>
                <w:b/>
                <w:bCs/>
                <w:sz w:val="20"/>
                <w:szCs w:val="20"/>
                <w:highlight w:val="yellow"/>
              </w:rPr>
              <w:t>Thursday</w:t>
            </w:r>
          </w:p>
        </w:tc>
        <w:tc>
          <w:tcPr>
            <w:tcW w:w="1991" w:type="dxa"/>
            <w:gridSpan w:val="3"/>
            <w:tcBorders>
              <w:top w:val="single" w:color="auto" w:sz="4" w:space="0"/>
              <w:left w:val="single" w:color="auto" w:sz="4" w:space="0"/>
              <w:bottom w:val="single" w:color="auto" w:sz="4" w:space="0"/>
              <w:right w:val="single" w:color="auto" w:sz="4" w:space="0"/>
            </w:tcBorders>
            <w:shd w:val="clear" w:color="auto" w:fill="auto"/>
            <w:tcMar/>
          </w:tcPr>
          <w:p w:rsidRPr="00523D39" w:rsidR="001506CA" w:rsidP="63B9B6B1" w:rsidRDefault="005113AE" w14:paraId="6F839360" w14:textId="12ADC1A0">
            <w:pPr>
              <w:jc w:val="center"/>
              <w:rPr>
                <w:rFonts w:ascii="Cambria" w:hAnsi="Cambria"/>
                <w:b/>
                <w:bCs/>
                <w:sz w:val="20"/>
                <w:szCs w:val="20"/>
                <w:highlight w:val="yellow"/>
              </w:rPr>
            </w:pPr>
            <w:r w:rsidRPr="63B9B6B1">
              <w:rPr>
                <w:rFonts w:ascii="Cambria" w:hAnsi="Cambria"/>
                <w:b/>
                <w:bCs/>
                <w:sz w:val="20"/>
                <w:szCs w:val="20"/>
                <w:highlight w:val="yellow"/>
              </w:rPr>
              <w:t>Friday</w:t>
            </w:r>
          </w:p>
        </w:tc>
      </w:tr>
      <w:tr w:rsidRPr="00F07217" w:rsidR="0057496A" w:rsidTr="3AD6CA30" w14:paraId="0EB57F5F" w14:textId="77777777">
        <w:trPr>
          <w:trHeight w:val="5580"/>
        </w:trPr>
        <w:tc>
          <w:tcPr>
            <w:tcW w:w="1790" w:type="dxa"/>
            <w:tcBorders>
              <w:top w:val="single" w:color="auto" w:sz="4" w:space="0"/>
              <w:left w:val="single" w:color="auto" w:sz="4" w:space="0"/>
              <w:bottom w:val="single" w:color="auto" w:sz="4" w:space="0"/>
              <w:right w:val="single" w:color="auto" w:sz="4" w:space="0"/>
            </w:tcBorders>
            <w:shd w:val="clear" w:color="auto" w:fill="auto"/>
            <w:tcMar/>
          </w:tcPr>
          <w:p w:rsidRPr="00523D39" w:rsidR="0057496A" w:rsidP="008A67D8" w:rsidRDefault="002D71BC" w14:paraId="211731FE" w14:textId="250F6EA0">
            <w:pPr>
              <w:rPr>
                <w:rFonts w:ascii="Cambria" w:hAnsi="Cambria"/>
                <w:b/>
                <w:bCs/>
                <w:sz w:val="20"/>
                <w:szCs w:val="20"/>
              </w:rPr>
            </w:pPr>
            <w:r w:rsidRPr="00523D39">
              <w:rPr>
                <w:rFonts w:ascii="Cambria" w:hAnsi="Cambria"/>
                <w:b/>
                <w:bCs/>
                <w:sz w:val="20"/>
                <w:szCs w:val="20"/>
              </w:rPr>
              <w:t>Key reading for the week</w:t>
            </w:r>
          </w:p>
          <w:p w:rsidRPr="00523D39" w:rsidR="005120DA" w:rsidP="005120DA" w:rsidRDefault="005120DA" w14:paraId="4E67F24B" w14:textId="11E5B013">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shd w:val="clear" w:color="auto" w:fill="auto"/>
            <w:tcMar/>
          </w:tcPr>
          <w:p w:rsidRPr="00B56665" w:rsidR="00BE47F7" w:rsidP="38CD3C7D" w:rsidRDefault="727798D7" w14:paraId="152FA847" w14:textId="6630F366">
            <w:pPr>
              <w:pStyle w:val="paragraph"/>
              <w:spacing w:before="0" w:beforeAutospacing="0" w:after="0" w:afterAutospacing="0"/>
              <w:textAlignment w:val="baseline"/>
              <w:rPr>
                <w:rStyle w:val="eop"/>
                <w:rFonts w:ascii="Cambria" w:hAnsi="Cambria" w:eastAsia="Cambria" w:cs="Cambria"/>
              </w:rPr>
            </w:pPr>
            <w:r w:rsidRPr="6C53551C">
              <w:rPr>
                <w:rFonts w:ascii="Cambria" w:hAnsi="Cambria" w:eastAsia="Cambria" w:cs="Cambria"/>
                <w:b/>
                <w:bCs/>
              </w:rPr>
              <w:t>Summary</w:t>
            </w:r>
            <w:r w:rsidRPr="6C53551C" w:rsidR="2ADF5818">
              <w:rPr>
                <w:rStyle w:val="normaltextrun"/>
                <w:rFonts w:ascii="Cambria" w:hAnsi="Cambria" w:eastAsia="Cambria" w:cs="Cambria"/>
                <w:shd w:val="clear" w:color="auto" w:fill="FFFFFF"/>
                <w:lang w:val="en-US"/>
              </w:rPr>
              <w:t xml:space="preserve"> </w:t>
            </w:r>
          </w:p>
          <w:p w:rsidR="4B1F2F9E" w:rsidP="38CD3C7D" w:rsidRDefault="4B1F2F9E" w14:paraId="483C3F2F" w14:textId="277AEDFC">
            <w:pPr>
              <w:rPr>
                <w:rFonts w:ascii="Cambria" w:hAnsi="Cambria" w:eastAsia="Cambria" w:cs="Cambria"/>
                <w:color w:val="242424"/>
                <w:sz w:val="24"/>
                <w:szCs w:val="24"/>
                <w:lang w:val="en-US"/>
              </w:rPr>
            </w:pPr>
            <w:r w:rsidRPr="38CD3C7D">
              <w:rPr>
                <w:rFonts w:ascii="Cambria" w:hAnsi="Cambria" w:eastAsia="Cambria" w:cs="Cambria"/>
                <w:color w:val="242424"/>
                <w:sz w:val="24"/>
                <w:szCs w:val="24"/>
                <w:lang w:val="en-US"/>
              </w:rPr>
              <w:t>Th</w:t>
            </w:r>
            <w:r w:rsidRPr="38CD3C7D" w:rsidR="1F23CE9D">
              <w:rPr>
                <w:rFonts w:ascii="Cambria" w:hAnsi="Cambria" w:eastAsia="Cambria" w:cs="Cambria"/>
                <w:color w:val="242424"/>
                <w:sz w:val="24"/>
                <w:szCs w:val="24"/>
                <w:lang w:val="en-US"/>
              </w:rPr>
              <w:t xml:space="preserve">is paper </w:t>
            </w:r>
            <w:r w:rsidRPr="38CD3C7D">
              <w:rPr>
                <w:rFonts w:ascii="Cambria" w:hAnsi="Cambria" w:eastAsia="Cambria" w:cs="Cambria"/>
                <w:color w:val="242424"/>
                <w:sz w:val="24"/>
                <w:szCs w:val="24"/>
                <w:lang w:val="en-US"/>
              </w:rPr>
              <w:t xml:space="preserve">discusses the need for schools to rethink the role of Teaching Assistants (TAs) and improve their </w:t>
            </w:r>
            <w:r w:rsidRPr="38CD3C7D" w:rsidR="6A06F9B8">
              <w:rPr>
                <w:rFonts w:ascii="Cambria" w:hAnsi="Cambria" w:eastAsia="Cambria" w:cs="Cambria"/>
                <w:color w:val="242424"/>
                <w:sz w:val="24"/>
                <w:szCs w:val="24"/>
                <w:lang w:val="en-US"/>
              </w:rPr>
              <w:t>utilisation</w:t>
            </w:r>
            <w:r w:rsidRPr="38CD3C7D">
              <w:rPr>
                <w:rFonts w:ascii="Cambria" w:hAnsi="Cambria" w:eastAsia="Cambria" w:cs="Cambria"/>
                <w:color w:val="242424"/>
                <w:sz w:val="24"/>
                <w:szCs w:val="24"/>
                <w:lang w:val="en-US"/>
              </w:rPr>
              <w:t xml:space="preserve"> to enhance student learning. Currently, TAs are often used informally as instructional resources for struggling students, which can lead to their isolation from the regular classroom setting. The document emphasizes the following key recommendations: </w:t>
            </w:r>
          </w:p>
          <w:p w:rsidR="4B1F2F9E" w:rsidP="38CD3C7D" w:rsidRDefault="4B1F2F9E" w14:paraId="4DBD192D" w14:textId="413E9099">
            <w:pPr>
              <w:pStyle w:val="ListParagraph"/>
              <w:numPr>
                <w:ilvl w:val="0"/>
                <w:numId w:val="1"/>
              </w:numPr>
              <w:rPr>
                <w:rFonts w:ascii="Cambria" w:hAnsi="Cambria" w:eastAsia="Cambria" w:cs="Cambria"/>
                <w:color w:val="000000" w:themeColor="text1"/>
                <w:sz w:val="24"/>
                <w:szCs w:val="24"/>
                <w:lang w:val="en-US"/>
              </w:rPr>
            </w:pPr>
            <w:r w:rsidRPr="38CD3C7D">
              <w:rPr>
                <w:rFonts w:ascii="Cambria" w:hAnsi="Cambria" w:eastAsia="Cambria" w:cs="Cambria"/>
                <w:color w:val="242424"/>
                <w:sz w:val="24"/>
                <w:szCs w:val="24"/>
                <w:lang w:val="en-US"/>
              </w:rPr>
              <w:t xml:space="preserve">TAs should not replace teachers but rather complement their work by focusing on the needs of all students through high-quality classroom teaching. This requires a shift away from assigning TAs to specific students for extended periods. </w:t>
            </w:r>
          </w:p>
          <w:p w:rsidR="4B1F2F9E" w:rsidP="38CD3C7D" w:rsidRDefault="4B1F2F9E" w14:paraId="6789B462" w14:textId="43B8142A">
            <w:pPr>
              <w:pStyle w:val="ListParagraph"/>
              <w:numPr>
                <w:ilvl w:val="0"/>
                <w:numId w:val="1"/>
              </w:numPr>
              <w:rPr>
                <w:rFonts w:ascii="Cambria" w:hAnsi="Cambria" w:eastAsia="Cambria" w:cs="Cambria"/>
                <w:color w:val="000000" w:themeColor="text1"/>
                <w:sz w:val="24"/>
                <w:szCs w:val="24"/>
                <w:lang w:val="en-US"/>
              </w:rPr>
            </w:pPr>
            <w:r w:rsidRPr="38CD3C7D">
              <w:rPr>
                <w:rFonts w:ascii="Cambria" w:hAnsi="Cambria" w:eastAsia="Cambria" w:cs="Cambria"/>
                <w:color w:val="242424"/>
                <w:sz w:val="24"/>
                <w:szCs w:val="24"/>
                <w:lang w:val="en-US"/>
              </w:rPr>
              <w:t xml:space="preserve">TAs should help students develop independent learning skills and prioritize tasks that encourage ownership and autonomy, intervening only when necessary. </w:t>
            </w:r>
          </w:p>
          <w:p w:rsidR="4B1F2F9E" w:rsidP="38CD3C7D" w:rsidRDefault="4B1F2F9E" w14:paraId="66123050" w14:textId="4C63EC6D">
            <w:pPr>
              <w:pStyle w:val="ListParagraph"/>
              <w:numPr>
                <w:ilvl w:val="0"/>
                <w:numId w:val="1"/>
              </w:numPr>
              <w:rPr>
                <w:rFonts w:ascii="Cambria" w:hAnsi="Cambria" w:eastAsia="Cambria" w:cs="Cambria"/>
                <w:color w:val="000000" w:themeColor="text1"/>
                <w:sz w:val="24"/>
                <w:szCs w:val="24"/>
                <w:lang w:val="en-US"/>
              </w:rPr>
            </w:pPr>
            <w:r w:rsidRPr="38CD3C7D">
              <w:rPr>
                <w:rFonts w:ascii="Cambria" w:hAnsi="Cambria" w:eastAsia="Cambria" w:cs="Cambria"/>
                <w:color w:val="242424"/>
                <w:sz w:val="24"/>
                <w:szCs w:val="24"/>
                <w:lang w:val="en-US"/>
              </w:rPr>
              <w:t xml:space="preserve">Schools should provide sufficient time for TA training and collaboration between teachers and TAs for lesson preparation and feedback. </w:t>
            </w:r>
          </w:p>
          <w:p w:rsidR="4B1F2F9E" w:rsidP="38CD3C7D" w:rsidRDefault="4B1F2F9E" w14:paraId="022C8489" w14:textId="1691B3A3">
            <w:pPr>
              <w:pStyle w:val="ListParagraph"/>
              <w:numPr>
                <w:ilvl w:val="0"/>
                <w:numId w:val="1"/>
              </w:numPr>
              <w:rPr>
                <w:rFonts w:ascii="Cambria" w:hAnsi="Cambria" w:eastAsia="Cambria" w:cs="Cambria"/>
                <w:color w:val="000000" w:themeColor="text1"/>
                <w:sz w:val="24"/>
                <w:szCs w:val="24"/>
                <w:lang w:val="en-US"/>
              </w:rPr>
            </w:pPr>
            <w:r w:rsidRPr="38CD3C7D">
              <w:rPr>
                <w:rFonts w:ascii="Cambria" w:hAnsi="Cambria" w:eastAsia="Cambria" w:cs="Cambria"/>
                <w:color w:val="242424"/>
                <w:sz w:val="24"/>
                <w:szCs w:val="24"/>
                <w:lang w:val="en-US"/>
              </w:rPr>
              <w:t xml:space="preserve">When TAs deliver targeted interventions in one-to-one or small group settings, they can have a positive impact on student attainment if the interventions are structured and supported by high-quality training. </w:t>
            </w:r>
          </w:p>
          <w:p w:rsidR="4B1F2F9E" w:rsidP="38CD3C7D" w:rsidRDefault="4B1F2F9E" w14:paraId="446E0E5A" w14:textId="7FDCE147">
            <w:pPr>
              <w:pStyle w:val="ListParagraph"/>
              <w:numPr>
                <w:ilvl w:val="0"/>
                <w:numId w:val="1"/>
              </w:numPr>
              <w:rPr>
                <w:rFonts w:ascii="Cambria" w:hAnsi="Cambria" w:eastAsia="Cambria" w:cs="Cambria"/>
                <w:color w:val="000000" w:themeColor="text1"/>
                <w:sz w:val="24"/>
                <w:szCs w:val="24"/>
                <w:lang w:val="en-US"/>
              </w:rPr>
            </w:pPr>
            <w:r w:rsidRPr="38CD3C7D">
              <w:rPr>
                <w:rFonts w:ascii="Cambria" w:hAnsi="Cambria" w:eastAsia="Cambria" w:cs="Cambria"/>
                <w:color w:val="242424"/>
                <w:sz w:val="24"/>
                <w:szCs w:val="24"/>
                <w:lang w:val="en-US"/>
              </w:rPr>
              <w:t xml:space="preserve">Schools should adopt evidence-based interventions for TAs in small </w:t>
            </w:r>
            <w:r w:rsidRPr="38CD3C7D" w:rsidR="5DB56930">
              <w:rPr>
                <w:rFonts w:ascii="Cambria" w:hAnsi="Cambria" w:eastAsia="Cambria" w:cs="Cambria"/>
                <w:color w:val="242424"/>
                <w:sz w:val="24"/>
                <w:szCs w:val="24"/>
                <w:lang w:val="en-US"/>
              </w:rPr>
              <w:t>groups</w:t>
            </w:r>
            <w:r w:rsidRPr="38CD3C7D">
              <w:rPr>
                <w:rFonts w:ascii="Cambria" w:hAnsi="Cambria" w:eastAsia="Cambria" w:cs="Cambria"/>
                <w:color w:val="242424"/>
                <w:sz w:val="24"/>
                <w:szCs w:val="24"/>
                <w:lang w:val="en-US"/>
              </w:rPr>
              <w:t xml:space="preserve"> and one-to-one instruction, following common elements of effective interventions such as brief, regular sessions, extensive TA training, structured resources, and assessments.</w:t>
            </w:r>
          </w:p>
          <w:p w:rsidR="4B1F2F9E" w:rsidP="38CD3C7D" w:rsidRDefault="4B1F2F9E" w14:paraId="61E93E40" w14:textId="05735DF1">
            <w:pPr>
              <w:pStyle w:val="ListParagraph"/>
              <w:numPr>
                <w:ilvl w:val="0"/>
                <w:numId w:val="1"/>
              </w:numPr>
              <w:rPr>
                <w:rFonts w:ascii="Cambria" w:hAnsi="Cambria" w:eastAsia="Cambria" w:cs="Cambria"/>
                <w:color w:val="000000" w:themeColor="text1"/>
                <w:sz w:val="24"/>
                <w:szCs w:val="24"/>
                <w:lang w:val="en-US"/>
              </w:rPr>
            </w:pPr>
            <w:r w:rsidRPr="38CD3C7D">
              <w:rPr>
                <w:rFonts w:ascii="Cambria" w:hAnsi="Cambria" w:eastAsia="Cambria" w:cs="Cambria"/>
                <w:color w:val="242424"/>
                <w:sz w:val="24"/>
                <w:szCs w:val="24"/>
                <w:lang w:val="en-US"/>
              </w:rPr>
              <w:t xml:space="preserve">There should be explicit connections between everyday classroom teaching and structured interventions to ensure continuity and consistency in learning experiences for students. </w:t>
            </w:r>
          </w:p>
          <w:p w:rsidR="4B1F2F9E" w:rsidP="38CD3C7D" w:rsidRDefault="4B1F2F9E" w14:paraId="6E0AFC86" w14:textId="09E80E9A">
            <w:pPr>
              <w:pStyle w:val="ListParagraph"/>
              <w:numPr>
                <w:ilvl w:val="0"/>
                <w:numId w:val="1"/>
              </w:numPr>
              <w:rPr>
                <w:rFonts w:ascii="Cambria" w:hAnsi="Cambria" w:eastAsia="Cambria" w:cs="Cambria"/>
                <w:color w:val="000000" w:themeColor="text1"/>
                <w:sz w:val="24"/>
                <w:szCs w:val="24"/>
                <w:lang w:val="en-US"/>
              </w:rPr>
            </w:pPr>
            <w:r w:rsidRPr="38CD3C7D">
              <w:rPr>
                <w:rFonts w:ascii="Cambria" w:hAnsi="Cambria" w:eastAsia="Cambria" w:cs="Cambria"/>
                <w:color w:val="242424"/>
                <w:sz w:val="24"/>
                <w:szCs w:val="24"/>
                <w:lang w:val="en-US"/>
              </w:rPr>
              <w:t>Pupils should understand the links between classroom learning and interventions, as it cannot be assumed that they will naturally make these connections on their own.</w:t>
            </w:r>
          </w:p>
          <w:p w:rsidRPr="00B56665" w:rsidR="00E13000" w:rsidP="6C53551C" w:rsidRDefault="00E13000" w14:paraId="659C2976" w14:textId="77777777">
            <w:pPr>
              <w:rPr>
                <w:rFonts w:ascii="Cambria" w:hAnsi="Cambria" w:eastAsia="Cambria" w:cs="Cambria"/>
                <w:sz w:val="24"/>
                <w:szCs w:val="24"/>
              </w:rPr>
            </w:pPr>
          </w:p>
          <w:p w:rsidR="627CABE2" w:rsidP="6C53551C" w:rsidRDefault="1A042A9C" w14:paraId="2F13A612" w14:textId="07DEA2DF">
            <w:pPr>
              <w:rPr>
                <w:rFonts w:ascii="Cambria" w:hAnsi="Cambria" w:eastAsia="Cambria" w:cs="Cambria"/>
                <w:b/>
                <w:bCs/>
                <w:sz w:val="24"/>
                <w:szCs w:val="24"/>
              </w:rPr>
            </w:pPr>
            <w:r w:rsidRPr="38CD3C7D">
              <w:rPr>
                <w:rFonts w:ascii="Cambria" w:hAnsi="Cambria" w:eastAsia="Cambria" w:cs="Cambria"/>
                <w:b/>
                <w:bCs/>
                <w:sz w:val="24"/>
                <w:szCs w:val="24"/>
              </w:rPr>
              <w:t>Limitations</w:t>
            </w:r>
          </w:p>
          <w:p w:rsidR="00BB25AA" w:rsidP="38CD3C7D" w:rsidRDefault="159EB0FA" w14:paraId="5206FFB1" w14:textId="2F0A1701">
            <w:pPr>
              <w:rPr>
                <w:rFonts w:ascii="Cambria" w:hAnsi="Cambria" w:cstheme="minorBidi"/>
                <w:sz w:val="24"/>
                <w:szCs w:val="24"/>
              </w:rPr>
            </w:pPr>
            <w:r w:rsidRPr="38CD3C7D">
              <w:rPr>
                <w:rFonts w:ascii="Cambria" w:hAnsi="Cambria" w:cstheme="minorBidi"/>
                <w:sz w:val="24"/>
                <w:szCs w:val="24"/>
              </w:rPr>
              <w:t>The research limitations, including limited evidence for structured interventions, potential lack of generalisability, and focus on short-term effects, highlight the importance of tailoring the document's recommendations to individual school contexts and student needs</w:t>
            </w:r>
          </w:p>
          <w:p w:rsidR="38CD3C7D" w:rsidP="38CD3C7D" w:rsidRDefault="38CD3C7D" w14:paraId="3AA47DB9" w14:textId="0C5A1DC3">
            <w:pPr>
              <w:rPr>
                <w:rFonts w:ascii="Cambria" w:hAnsi="Cambria" w:cstheme="minorBidi"/>
                <w:sz w:val="20"/>
                <w:szCs w:val="20"/>
              </w:rPr>
            </w:pPr>
          </w:p>
          <w:p w:rsidRPr="00B56665" w:rsidR="00BE47F7" w:rsidP="6C53551C" w:rsidRDefault="1FB2193F" w14:paraId="5F74899B" w14:textId="6440AE83">
            <w:pPr>
              <w:pStyle w:val="paragraph"/>
              <w:spacing w:before="0" w:beforeAutospacing="0" w:after="0" w:afterAutospacing="0"/>
              <w:textAlignment w:val="baseline"/>
              <w:rPr>
                <w:rFonts w:ascii="Cambria" w:hAnsi="Cambria" w:cstheme="minorBidi"/>
                <w:b/>
                <w:bCs/>
              </w:rPr>
            </w:pPr>
            <w:r w:rsidRPr="036F23E2">
              <w:rPr>
                <w:rFonts w:ascii="Cambria" w:hAnsi="Cambria" w:cstheme="minorBidi"/>
                <w:b/>
                <w:bCs/>
              </w:rPr>
              <w:t>Reference</w:t>
            </w:r>
          </w:p>
          <w:p w:rsidRPr="00B56665" w:rsidR="00BE47F7" w:rsidP="036F23E2" w:rsidRDefault="78D32468" w14:paraId="6071F449" w14:textId="4DCBE69E">
            <w:pPr>
              <w:textAlignment w:val="baseline"/>
              <w:rPr>
                <w:rFonts w:ascii="Cambria" w:hAnsi="Cambria" w:eastAsia="Cambria" w:cs="Cambria"/>
                <w:color w:val="auto"/>
                <w:sz w:val="24"/>
                <w:szCs w:val="24"/>
              </w:rPr>
            </w:pPr>
            <w:r w:rsidRPr="23F5A376">
              <w:rPr>
                <w:rFonts w:ascii="Cambria" w:hAnsi="Cambria" w:eastAsia="Cambria" w:cs="Cambria"/>
                <w:color w:val="auto"/>
                <w:sz w:val="24"/>
                <w:szCs w:val="24"/>
              </w:rPr>
              <w:t xml:space="preserve">Making Best Use of Teaching Assistants - Education Endowment Foundation </w:t>
            </w:r>
            <w:hyperlink r:id="rId11">
              <w:r w:rsidRPr="23F5A376">
                <w:rPr>
                  <w:rStyle w:val="Hyperlink"/>
                  <w:rFonts w:ascii="Cambria" w:hAnsi="Cambria" w:eastAsia="Cambria" w:cs="Cambria"/>
                  <w:sz w:val="24"/>
                  <w:szCs w:val="24"/>
                </w:rPr>
                <w:t>https://educationendowmentfoundation.org.uk/education-evidence/guidance-reports/teaching-assistants</w:t>
              </w:r>
            </w:hyperlink>
            <w:r w:rsidRPr="23F5A376">
              <w:rPr>
                <w:rFonts w:ascii="Cambria" w:hAnsi="Cambria" w:eastAsia="Cambria" w:cs="Cambria"/>
                <w:color w:val="auto"/>
                <w:sz w:val="24"/>
                <w:szCs w:val="24"/>
              </w:rPr>
              <w:t xml:space="preserve"> </w:t>
            </w:r>
          </w:p>
        </w:tc>
      </w:tr>
      <w:tr w:rsidRPr="00F07217" w:rsidR="00B5000E" w:rsidTr="3AD6CA30" w14:paraId="0811EF35" w14:textId="77777777">
        <w:trPr>
          <w:trHeight w:val="1080"/>
        </w:trPr>
        <w:tc>
          <w:tcPr>
            <w:tcW w:w="1790" w:type="dxa"/>
            <w:tcBorders>
              <w:top w:val="single" w:color="auto" w:sz="4" w:space="0"/>
              <w:left w:val="single" w:color="auto" w:sz="4" w:space="0"/>
              <w:bottom w:val="single" w:color="auto" w:sz="4" w:space="0"/>
              <w:right w:val="single" w:color="auto" w:sz="4" w:space="0"/>
            </w:tcBorders>
            <w:shd w:val="clear" w:color="auto" w:fill="auto"/>
            <w:tcMar/>
          </w:tcPr>
          <w:p w:rsidRPr="00523D39" w:rsidR="00B5000E" w:rsidP="00B5000E" w:rsidRDefault="00B5000E" w14:paraId="10E114CD" w14:textId="2DA3B95B">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Support for mentoring</w:t>
            </w:r>
            <w:r w:rsidRPr="00523D39" w:rsidR="00403E3F">
              <w:rPr>
                <w:rFonts w:ascii="Cambria" w:hAnsi="Cambria" w:eastAsia="Georgia" w:cs="Georgia"/>
                <w:b/>
                <w:sz w:val="20"/>
                <w:szCs w:val="20"/>
              </w:rPr>
              <w:t xml:space="preserve"> i</w:t>
            </w:r>
            <w:r w:rsidRPr="00523D39" w:rsidR="008235B7">
              <w:rPr>
                <w:rFonts w:ascii="Cambria" w:hAnsi="Cambria" w:eastAsia="Georgia" w:cs="Georgia"/>
                <w:b/>
                <w:sz w:val="20"/>
                <w:szCs w:val="20"/>
              </w:rPr>
              <w:t xml:space="preserve">n </w:t>
            </w:r>
            <w:r w:rsidRPr="00523D39" w:rsidR="00D12C87">
              <w:rPr>
                <w:rFonts w:ascii="Cambria" w:hAnsi="Cambria" w:eastAsia="Georgia" w:cs="Georgia"/>
                <w:b/>
                <w:sz w:val="20"/>
                <w:szCs w:val="20"/>
              </w:rPr>
              <w:t>this subject</w:t>
            </w:r>
          </w:p>
          <w:p w:rsidRPr="00523D39" w:rsidR="00B5000E" w:rsidP="00B5000E" w:rsidRDefault="00B5000E" w14:paraId="25E7C692" w14:textId="77777777">
            <w:pPr>
              <w:spacing w:line="237" w:lineRule="auto"/>
              <w:jc w:val="center"/>
              <w:rPr>
                <w:rFonts w:ascii="Cambria" w:hAnsi="Cambria" w:eastAsia="Georgia" w:cs="Georgia"/>
                <w:b/>
                <w:sz w:val="20"/>
                <w:szCs w:val="20"/>
              </w:rPr>
            </w:pPr>
          </w:p>
          <w:p w:rsidRPr="00523D39" w:rsidR="00B5000E" w:rsidP="00560FE2" w:rsidRDefault="00B5000E" w14:paraId="7314DB2E" w14:textId="47B98BEB">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shd w:val="clear" w:color="auto" w:fill="auto"/>
            <w:tcMar/>
          </w:tcPr>
          <w:p w:rsidRPr="005F4A4E" w:rsidR="00BA2F70" w:rsidP="1416C799" w:rsidRDefault="776A9B9B" w14:paraId="02295E43" w14:textId="3269B8D1">
            <w:pPr>
              <w:pStyle w:val="xmsolistparagraph"/>
              <w:shd w:val="clear" w:color="auto" w:fill="FFFFFF" w:themeFill="background1"/>
              <w:spacing w:before="0" w:beforeAutospacing="0" w:after="0" w:afterAutospacing="0"/>
              <w:jc w:val="both"/>
              <w:rPr>
                <w:rFonts w:ascii="Cambria" w:hAnsi="Cambria" w:cs="Calibri"/>
                <w:color w:val="201F1E"/>
              </w:rPr>
            </w:pPr>
            <w:r w:rsidRPr="58A63E69">
              <w:rPr>
                <w:rFonts w:ascii="Cambria" w:hAnsi="Cambria" w:cs="Calibri"/>
                <w:color w:val="201F1E"/>
              </w:rPr>
              <w:t xml:space="preserve">Professor James Holt offers some interesting and useful insights in to Challenge in RE in his blog </w:t>
            </w:r>
            <w:hyperlink r:id="rId13">
              <w:r w:rsidRPr="58A63E69">
                <w:rPr>
                  <w:rStyle w:val="Hyperlink"/>
                  <w:rFonts w:ascii="Cambria" w:hAnsi="Cambria" w:cs="Calibri"/>
                </w:rPr>
                <w:t>post</w:t>
              </w:r>
            </w:hyperlink>
            <w:r w:rsidRPr="58A63E69">
              <w:rPr>
                <w:rFonts w:ascii="Cambria" w:hAnsi="Cambria" w:cs="Calibri"/>
                <w:color w:val="201F1E"/>
              </w:rPr>
              <w:t>.</w:t>
            </w:r>
            <w:r w:rsidRPr="58A63E69" w:rsidR="5D23A498">
              <w:rPr>
                <w:rFonts w:ascii="Cambria" w:hAnsi="Cambria" w:cs="Calibri"/>
                <w:color w:val="201F1E"/>
              </w:rPr>
              <w:t xml:space="preserve"> </w:t>
            </w:r>
            <w:r w:rsidRPr="58A63E69" w:rsidR="12DC4E6B">
              <w:rPr>
                <w:rFonts w:ascii="Cambria" w:hAnsi="Cambria" w:cs="Calibri"/>
                <w:color w:val="201F1E"/>
              </w:rPr>
              <w:t>Underscoring the necessity for RE to provide a challenge by focusing on three crucial aspects: Knowledge, Epistemology, and Empathy. He underscores the immense scope of religious knowledge, the interdisciplinary nature of RE, and the significance of comprehending and empathising with religious beliefs and practices. The objective is to transcend mere acquisition of facts and encourage students to engage in critical thinking and meaningful explorations regarding the influence of religion on individuals and communities, thereby rendering RE a multifaceted and intellectually stimulating subject.</w:t>
            </w:r>
          </w:p>
        </w:tc>
      </w:tr>
      <w:tr w:rsidRPr="00F07217" w:rsidR="00403E3F" w:rsidTr="3AD6CA30" w14:paraId="242BC6CD" w14:textId="77777777">
        <w:trPr>
          <w:trHeight w:val="262"/>
        </w:trPr>
        <w:tc>
          <w:tcPr>
            <w:tcW w:w="1790" w:type="dxa"/>
            <w:vMerge w:val="restart"/>
            <w:tcBorders>
              <w:top w:val="single" w:color="auto" w:sz="4" w:space="0"/>
              <w:left w:val="single" w:color="auto" w:sz="4" w:space="0"/>
              <w:right w:val="single" w:color="auto" w:sz="4" w:space="0"/>
            </w:tcBorders>
            <w:tcMar/>
          </w:tcPr>
          <w:p w:rsidRPr="00523D39" w:rsidR="00403E3F" w:rsidP="00403E3F" w:rsidRDefault="00403E3F" w14:paraId="22257974" w14:textId="53252047">
            <w:pPr>
              <w:spacing w:line="237" w:lineRule="auto"/>
              <w:jc w:val="center"/>
              <w:rPr>
                <w:rFonts w:ascii="Cambria" w:hAnsi="Cambria"/>
                <w:b/>
                <w:bCs/>
                <w:sz w:val="20"/>
                <w:szCs w:val="20"/>
              </w:rPr>
            </w:pPr>
          </w:p>
          <w:p w:rsidRPr="00523D39" w:rsidR="00403E3F" w:rsidP="00403E3F" w:rsidRDefault="00403E3F" w14:paraId="323B0429" w14:textId="77777777">
            <w:pPr>
              <w:spacing w:line="237" w:lineRule="auto"/>
              <w:jc w:val="center"/>
              <w:rPr>
                <w:rFonts w:ascii="Cambria" w:hAnsi="Cambria"/>
                <w:b/>
                <w:bCs/>
                <w:sz w:val="20"/>
                <w:szCs w:val="20"/>
              </w:rPr>
            </w:pPr>
          </w:p>
          <w:p w:rsidRPr="00523D39" w:rsidR="00403E3F" w:rsidP="00403E3F" w:rsidRDefault="00403E3F" w14:paraId="794A60FE" w14:textId="12B12DE9">
            <w:pPr>
              <w:spacing w:line="237" w:lineRule="auto"/>
              <w:jc w:val="center"/>
              <w:rPr>
                <w:rFonts w:ascii="Cambria" w:hAnsi="Cambria"/>
                <w:b/>
                <w:bCs/>
                <w:sz w:val="20"/>
                <w:szCs w:val="20"/>
              </w:rPr>
            </w:pPr>
            <w:r w:rsidRPr="00523D39">
              <w:rPr>
                <w:rFonts w:ascii="Cambria" w:hAnsi="Cambria"/>
                <w:b/>
                <w:bCs/>
                <w:sz w:val="20"/>
                <w:szCs w:val="20"/>
              </w:rPr>
              <w:t>Curriculum for the week</w:t>
            </w:r>
          </w:p>
          <w:p w:rsidRPr="00523D39" w:rsidR="00403E3F" w:rsidP="00403E3F" w:rsidRDefault="00403E3F" w14:paraId="3577F80B" w14:textId="77777777">
            <w:pPr>
              <w:rPr>
                <w:rFonts w:ascii="Cambria" w:hAnsi="Cambria"/>
                <w:sz w:val="20"/>
                <w:szCs w:val="20"/>
              </w:rPr>
            </w:pPr>
            <w:r w:rsidRPr="00523D39">
              <w:rPr>
                <w:rFonts w:ascii="Cambria" w:hAnsi="Cambria" w:eastAsia="Georgia" w:cs="Georgia"/>
                <w:sz w:val="20"/>
                <w:szCs w:val="20"/>
              </w:rPr>
              <w:t xml:space="preserve"> </w:t>
            </w:r>
          </w:p>
          <w:p w:rsidRPr="00523D39" w:rsidR="00403E3F" w:rsidP="00403E3F" w:rsidRDefault="00403E3F" w14:paraId="56739CEE" w14:textId="2D653E4C">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9034"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360ABAE5" w14:textId="3177A167">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403E3F" w:rsidP="00403E3F" w:rsidRDefault="00403E3F" w14:paraId="6BF6678C" w14:textId="77777777">
            <w:pPr>
              <w:jc w:val="center"/>
              <w:rPr>
                <w:rFonts w:ascii="Cambria" w:hAnsi="Cambria"/>
                <w:b/>
                <w:bCs/>
                <w:sz w:val="20"/>
                <w:szCs w:val="20"/>
              </w:rPr>
            </w:pPr>
            <w:r w:rsidRPr="00523D39">
              <w:rPr>
                <w:rFonts w:ascii="Cambria" w:hAnsi="Cambria"/>
                <w:b/>
                <w:bCs/>
                <w:sz w:val="20"/>
                <w:szCs w:val="20"/>
              </w:rPr>
              <w:t>Y/N</w:t>
            </w:r>
          </w:p>
          <w:p w:rsidRPr="00523D39" w:rsidR="00403E3F" w:rsidP="00403E3F" w:rsidRDefault="00403E3F" w14:paraId="0E7E73C3" w14:textId="3E44AEE5">
            <w:pPr>
              <w:jc w:val="center"/>
              <w:rPr>
                <w:rFonts w:ascii="Cambria" w:hAnsi="Cambria"/>
                <w:b/>
                <w:bCs/>
                <w:sz w:val="20"/>
                <w:szCs w:val="20"/>
              </w:rPr>
            </w:pPr>
          </w:p>
        </w:tc>
      </w:tr>
      <w:tr w:rsidRPr="00F07217" w:rsidR="00CB44DE" w:rsidTr="3AD6CA30" w14:paraId="75C24513" w14:textId="77777777">
        <w:trPr>
          <w:trHeight w:val="968"/>
        </w:trPr>
        <w:tc>
          <w:tcPr>
            <w:tcW w:w="1790" w:type="dxa"/>
            <w:vMerge/>
            <w:tcMar/>
          </w:tcPr>
          <w:p w:rsidRPr="00523D39" w:rsidR="00CB44DE" w:rsidP="00B5000E" w:rsidRDefault="00CB44DE" w14:paraId="38A28802"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tcMar/>
          </w:tcPr>
          <w:p w:rsidRPr="00523D39" w:rsidR="00BA2F70" w:rsidP="63B9B6B1" w:rsidRDefault="00A5777A" w14:paraId="359A179C" w14:textId="1A684E34">
            <w:pPr>
              <w:pStyle w:val="ListParagraph"/>
              <w:numPr>
                <w:ilvl w:val="0"/>
                <w:numId w:val="2"/>
              </w:numPr>
              <w:rPr>
                <w:color w:val="000000" w:themeColor="text1"/>
                <w:shd w:val="clear" w:color="auto" w:fill="FFFFFF"/>
              </w:rPr>
            </w:pPr>
            <w:r w:rsidRPr="0576CBC1" w:rsidR="0068BC15">
              <w:rPr>
                <w:color w:val="000000" w:themeColor="text1" w:themeTint="FF" w:themeShade="FF"/>
              </w:rPr>
              <w:t>Additional staff members offer valuable support, including tailored assistance for individual or group pupils, alongside flexible pupil grouping within classes.</w:t>
            </w:r>
          </w:p>
          <w:p w:rsidRPr="00523D39" w:rsidR="00BA2F70" w:rsidP="63B9B6B1" w:rsidRDefault="00A5777A" w14:paraId="59FDA723" w14:textId="1A684E34">
            <w:pPr>
              <w:pStyle w:val="ListParagraph"/>
              <w:numPr>
                <w:ilvl w:val="0"/>
                <w:numId w:val="2"/>
              </w:numPr>
              <w:rPr>
                <w:color w:val="000000" w:themeColor="text1"/>
                <w:shd w:val="clear" w:color="auto" w:fill="FFFFFF"/>
              </w:rPr>
            </w:pPr>
            <w:r w:rsidRPr="0576CBC1" w:rsidR="143F0D47">
              <w:rPr>
                <w:color w:val="000000" w:themeColor="text1" w:themeTint="FF" w:themeShade="FF"/>
              </w:rPr>
              <w:t>Teaching assistants (TAs) enhance pupil support when teachers prepare them for lessons and TAs supplement teacher support rather than replacing it. Collaborating with TAs and sharing lesson outcomes beforehand is crucial.</w:t>
            </w:r>
          </w:p>
          <w:p w:rsidRPr="00523D39" w:rsidR="00BA2F70" w:rsidP="63B9B6B1" w:rsidRDefault="00A5777A" w14:paraId="4E488AE5" w14:textId="05EBACD0">
            <w:pPr>
              <w:pStyle w:val="ListParagraph"/>
              <w:numPr>
                <w:ilvl w:val="0"/>
                <w:numId w:val="2"/>
              </w:numPr>
              <w:rPr>
                <w:color w:val="000000" w:themeColor="text1"/>
                <w:shd w:val="clear" w:color="auto" w:fill="FFFFFF"/>
              </w:rPr>
            </w:pPr>
            <w:r w:rsidRPr="3AD6CA30" w:rsidR="143F0D47">
              <w:rPr>
                <w:color w:val="000000" w:themeColor="text1" w:themeTint="FF" w:themeShade="FF"/>
              </w:rPr>
              <w:t xml:space="preserve">Recognising pupils' differences, including prior knowledge and potential learning barriers, is essential in </w:t>
            </w:r>
            <w:r w:rsidRPr="3AD6CA30" w:rsidR="143F0D47">
              <w:rPr>
                <w:color w:val="000000" w:themeColor="text1" w:themeTint="FF" w:themeShade="FF"/>
              </w:rPr>
              <w:t>R</w:t>
            </w:r>
            <w:r w:rsidRPr="3AD6CA30" w:rsidR="143F0D47">
              <w:rPr>
                <w:color w:val="000000" w:themeColor="text1" w:themeTint="FF" w:themeShade="FF"/>
              </w:rPr>
              <w:t>E</w:t>
            </w:r>
            <w:r w:rsidRPr="3AD6CA30" w:rsidR="143F0D47">
              <w:rPr>
                <w:color w:val="000000" w:themeColor="text1" w:themeTint="FF" w:themeShade="FF"/>
              </w:rPr>
              <w:t xml:space="preserve"> teaching. A predictable and secure classroom environment b</w:t>
            </w:r>
            <w:r w:rsidRPr="3AD6CA30" w:rsidR="143F0D47">
              <w:rPr>
                <w:color w:val="000000" w:themeColor="text1" w:themeTint="FF" w:themeShade="FF"/>
              </w:rPr>
              <w:t xml:space="preserve">enefits </w:t>
            </w:r>
            <w:r w:rsidRPr="3AD6CA30" w:rsidR="143F0D47">
              <w:rPr>
                <w:color w:val="000000" w:themeColor="text1" w:themeTint="FF" w:themeShade="FF"/>
              </w:rPr>
              <w:t>all students, particularly those with special educational needs.</w:t>
            </w: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3324D5" w:rsidRDefault="00CB44DE" w14:paraId="500548AF" w14:textId="77777777">
            <w:pPr>
              <w:jc w:val="center"/>
              <w:rPr>
                <w:rFonts w:ascii="Cambria" w:hAnsi="Cambria"/>
                <w:sz w:val="20"/>
                <w:szCs w:val="20"/>
              </w:rPr>
            </w:pPr>
          </w:p>
        </w:tc>
      </w:tr>
      <w:tr w:rsidRPr="00F07217" w:rsidR="00CB44DE" w:rsidTr="3AD6CA30" w14:paraId="365EFF71" w14:textId="77777777">
        <w:trPr>
          <w:trHeight w:val="152"/>
        </w:trPr>
        <w:tc>
          <w:tcPr>
            <w:tcW w:w="1790" w:type="dxa"/>
            <w:vMerge/>
            <w:tcMar/>
          </w:tcPr>
          <w:p w:rsidRPr="00523D39" w:rsidR="00CB44DE" w:rsidP="00D7386B" w:rsidRDefault="00CB44DE" w14:paraId="39E4C718"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D7386B" w:rsidRDefault="00CB44DE" w14:paraId="4AA9EA46" w14:textId="06BEEB12">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CB44DE" w:rsidP="003324D5" w:rsidRDefault="00CB44DE" w14:paraId="5E1B72E3" w14:textId="77777777">
            <w:pPr>
              <w:jc w:val="center"/>
              <w:rPr>
                <w:rFonts w:ascii="Cambria" w:hAnsi="Cambria"/>
                <w:b/>
                <w:bCs/>
                <w:sz w:val="20"/>
                <w:szCs w:val="20"/>
              </w:rPr>
            </w:pPr>
            <w:r w:rsidRPr="00523D39">
              <w:rPr>
                <w:rFonts w:ascii="Cambria" w:hAnsi="Cambria"/>
                <w:b/>
                <w:bCs/>
                <w:sz w:val="20"/>
                <w:szCs w:val="20"/>
              </w:rPr>
              <w:t>Y/N</w:t>
            </w:r>
          </w:p>
          <w:p w:rsidRPr="00523D39" w:rsidR="00CB44DE" w:rsidP="003324D5" w:rsidRDefault="00CB44DE" w14:paraId="18B6C2E1" w14:textId="115AA463">
            <w:pPr>
              <w:jc w:val="center"/>
              <w:rPr>
                <w:rFonts w:ascii="Cambria" w:hAnsi="Cambria"/>
                <w:b/>
                <w:bCs/>
                <w:sz w:val="20"/>
                <w:szCs w:val="20"/>
              </w:rPr>
            </w:pPr>
          </w:p>
        </w:tc>
      </w:tr>
      <w:tr w:rsidRPr="00F07217" w:rsidR="00CB44DE" w:rsidTr="3AD6CA30" w14:paraId="0B2BB01B" w14:textId="77777777">
        <w:trPr>
          <w:trHeight w:val="152"/>
        </w:trPr>
        <w:tc>
          <w:tcPr>
            <w:tcW w:w="1790" w:type="dxa"/>
            <w:vMerge/>
            <w:tcMar/>
          </w:tcPr>
          <w:p w:rsidRPr="00523D39" w:rsidR="00CB44DE" w:rsidP="00D7386B" w:rsidRDefault="00CB44DE" w14:paraId="6816228A" w14:textId="77777777">
            <w:pPr>
              <w:spacing w:line="237" w:lineRule="auto"/>
              <w:jc w:val="center"/>
              <w:rPr>
                <w:rFonts w:ascii="Cambria" w:hAnsi="Cambria"/>
                <w:b/>
                <w:bCs/>
                <w:sz w:val="20"/>
                <w:szCs w:val="20"/>
              </w:rPr>
            </w:pPr>
          </w:p>
        </w:tc>
        <w:tc>
          <w:tcPr>
            <w:tcW w:w="9034" w:type="dxa"/>
            <w:gridSpan w:val="10"/>
            <w:tcBorders>
              <w:top w:val="single" w:color="auto" w:sz="4" w:space="0"/>
              <w:left w:val="single" w:color="auto" w:sz="4" w:space="0"/>
              <w:bottom w:val="single" w:color="auto" w:sz="4" w:space="0"/>
              <w:right w:val="single" w:color="auto" w:sz="4" w:space="0"/>
            </w:tcBorders>
            <w:tcMar/>
          </w:tcPr>
          <w:p w:rsidR="3AE03EBB" w:rsidP="3AD6CA30" w:rsidRDefault="3AE03EBB" w14:paraId="7CCCDD7D" w14:textId="1C85CE49">
            <w:pPr>
              <w:pStyle w:val="ListParagraph"/>
              <w:numPr>
                <w:ilvl w:val="0"/>
                <w:numId w:val="4"/>
              </w:numPr>
              <w:rPr>
                <w:color w:val="000000" w:themeColor="text1" w:themeTint="FF" w:themeShade="FF"/>
              </w:rPr>
            </w:pPr>
            <w:r w:rsidRPr="3AD6CA30" w:rsidR="3AE03EBB">
              <w:rPr>
                <w:color w:val="000000" w:themeColor="text1" w:themeTint="FF" w:themeShade="FF"/>
              </w:rPr>
              <w:t>Demonstrate activities that can stretch and challenge pupils of all abilities. This may include critically reflecting on the use of modelling and scaffolding.</w:t>
            </w:r>
          </w:p>
          <w:p w:rsidR="233B0508" w:rsidP="0576CBC1" w:rsidRDefault="233B0508" w14:paraId="6D47E4E8" w14:textId="1E3C7DD5">
            <w:pPr>
              <w:pStyle w:val="ListParagraph"/>
              <w:numPr>
                <w:ilvl w:val="0"/>
                <w:numId w:val="4"/>
              </w:numPr>
              <w:rPr>
                <w:color w:val="000000" w:themeColor="text1" w:themeTint="FF" w:themeShade="FF"/>
              </w:rPr>
            </w:pPr>
            <w:r w:rsidRPr="3AD6CA30" w:rsidR="5601271A">
              <w:rPr>
                <w:color w:val="000000" w:themeColor="text1" w:themeTint="FF" w:themeShade="FF"/>
              </w:rPr>
              <w:t>Exemplify lessons using the TA’s knowledge and skills to enhance pupil progress.</w:t>
            </w:r>
          </w:p>
          <w:p w:rsidRPr="00523D39" w:rsidR="00A5777A" w:rsidP="036F23E2" w:rsidRDefault="00A5777A" w14:paraId="3437E904" w14:textId="5230DC98">
            <w:pPr>
              <w:pStyle w:val="ListParagraph"/>
              <w:numPr>
                <w:ilvl w:val="0"/>
                <w:numId w:val="4"/>
              </w:numPr>
              <w:rPr>
                <w:color w:val="000000" w:themeColor="text1"/>
              </w:rPr>
            </w:pPr>
            <w:r w:rsidRPr="3AD6CA30" w:rsidR="5601271A">
              <w:rPr>
                <w:color w:val="000000" w:themeColor="text1" w:themeTint="FF" w:themeShade="FF"/>
              </w:rPr>
              <w:t xml:space="preserve">Analyse the importance of planning ensure that support provided by teaching assistants in lessons is </w:t>
            </w:r>
            <w:r w:rsidRPr="3AD6CA30" w:rsidR="5601271A">
              <w:rPr>
                <w:color w:val="000000" w:themeColor="text1" w:themeTint="FF" w:themeShade="FF"/>
              </w:rPr>
              <w:t>additional</w:t>
            </w:r>
            <w:r w:rsidRPr="3AD6CA30" w:rsidR="5601271A">
              <w:rPr>
                <w:color w:val="000000" w:themeColor="text1" w:themeTint="FF" w:themeShade="FF"/>
              </w:rPr>
              <w:t xml:space="preserve"> to, rather than a replacement for, support from the teacher.</w:t>
            </w:r>
          </w:p>
        </w:tc>
        <w:tc>
          <w:tcPr>
            <w:tcW w:w="657" w:type="dxa"/>
            <w:tcBorders>
              <w:top w:val="single" w:color="auto" w:sz="4" w:space="0"/>
              <w:left w:val="single" w:color="auto" w:sz="4" w:space="0"/>
              <w:bottom w:val="single" w:color="auto" w:sz="4" w:space="0"/>
              <w:right w:val="single" w:color="auto" w:sz="4" w:space="0"/>
            </w:tcBorders>
            <w:tcMar/>
          </w:tcPr>
          <w:p w:rsidRPr="00523D39" w:rsidR="00CB44DE" w:rsidP="00D7386B" w:rsidRDefault="00CB44DE" w14:paraId="5FF312F8" w14:textId="77777777">
            <w:pPr>
              <w:rPr>
                <w:rFonts w:ascii="Cambria" w:hAnsi="Cambria"/>
                <w:b/>
                <w:bCs/>
                <w:sz w:val="20"/>
                <w:szCs w:val="20"/>
              </w:rPr>
            </w:pPr>
          </w:p>
        </w:tc>
      </w:tr>
      <w:tr w:rsidRPr="00F07217" w:rsidR="00B5000E" w:rsidTr="3AD6CA30" w14:paraId="3CEA7B26" w14:textId="77777777">
        <w:trPr>
          <w:trHeight w:val="2380"/>
        </w:trPr>
        <w:tc>
          <w:tcPr>
            <w:tcW w:w="1790" w:type="dxa"/>
            <w:tcBorders>
              <w:top w:val="single" w:color="auto" w:sz="4" w:space="0"/>
              <w:left w:val="single" w:color="auto" w:sz="4" w:space="0"/>
              <w:bottom w:val="single" w:color="auto" w:sz="4" w:space="0"/>
              <w:right w:val="single" w:color="auto" w:sz="4" w:space="0"/>
            </w:tcBorders>
            <w:tcMar/>
          </w:tcPr>
          <w:p w:rsidRPr="00523D39" w:rsidR="00B5000E" w:rsidP="6C53551C" w:rsidRDefault="2E467C1C" w14:paraId="2B69B659" w14:textId="42685D17">
            <w:pPr>
              <w:spacing w:line="237" w:lineRule="auto"/>
              <w:jc w:val="center"/>
              <w:rPr>
                <w:rFonts w:ascii="Cambria" w:hAnsi="Cambria" w:eastAsia="Georgia" w:cs="Georgia"/>
                <w:b/>
                <w:bCs/>
              </w:rPr>
            </w:pPr>
            <w:r w:rsidRPr="6C53551C">
              <w:rPr>
                <w:rFonts w:ascii="Cambria" w:hAnsi="Cambria" w:eastAsia="Georgia" w:cs="Georgia"/>
                <w:b/>
                <w:bCs/>
              </w:rPr>
              <w:t xml:space="preserve">Questions for mentor and trainee to discuss in mentor meeting       </w:t>
            </w:r>
            <w:r>
              <w:rPr>
                <w:noProof/>
              </w:rPr>
              <w:drawing>
                <wp:inline distT="0" distB="0" distL="0" distR="0" wp14:anchorId="33196FB2" wp14:editId="6F0211A4">
                  <wp:extent cx="419100" cy="633311"/>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419100" cy="633311"/>
                          </a:xfrm>
                          <a:prstGeom prst="rect">
                            <a:avLst/>
                          </a:prstGeom>
                        </pic:spPr>
                      </pic:pic>
                    </a:graphicData>
                  </a:graphic>
                </wp:inline>
              </w:drawing>
            </w:r>
          </w:p>
        </w:tc>
        <w:tc>
          <w:tcPr>
            <w:tcW w:w="9691" w:type="dxa"/>
            <w:gridSpan w:val="11"/>
            <w:tcBorders>
              <w:top w:val="single" w:color="auto" w:sz="4" w:space="0"/>
              <w:left w:val="single" w:color="auto" w:sz="4" w:space="0"/>
              <w:bottom w:val="single" w:color="auto" w:sz="4" w:space="0"/>
              <w:right w:val="single" w:color="auto" w:sz="4" w:space="0"/>
            </w:tcBorders>
            <w:tcMar/>
          </w:tcPr>
          <w:p w:rsidRPr="00523D39" w:rsidR="00B5000E" w:rsidP="3AD6CA30" w:rsidRDefault="2E467C1C" w14:paraId="6873B847" w14:textId="06F2626E">
            <w:pPr>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3AD6CA30" w:rsidR="2E467C1C">
              <w:rPr>
                <w:rFonts w:ascii="Cambria" w:hAnsi="Cambria"/>
                <w:b w:val="1"/>
                <w:bCs w:val="1"/>
              </w:rPr>
              <w:t>Q1:</w:t>
            </w:r>
            <w:r w:rsidRPr="3AD6CA30" w:rsidR="41F9C91E">
              <w:rPr>
                <w:rFonts w:ascii="Cambria" w:hAnsi="Cambria"/>
                <w:b w:val="1"/>
                <w:bCs w:val="1"/>
              </w:rPr>
              <w:t xml:space="preserve"> </w:t>
            </w:r>
            <w:r w:rsidRPr="3AD6CA30" w:rsidR="1A32B154">
              <w:rPr>
                <w:rFonts w:ascii="Cambria" w:hAnsi="Cambria"/>
                <w:b w:val="1"/>
                <w:bCs w:val="1"/>
              </w:rPr>
              <w:t>How can you ensure that the support provided by teaching assistants in your lessons is additional to, rather than a replacement for, your own support as the teacher?</w:t>
            </w:r>
          </w:p>
          <w:p w:rsidRPr="00523D39" w:rsidR="00B5000E" w:rsidP="036F23E2" w:rsidRDefault="2E467C1C" w14:paraId="2FCBDA67" w14:textId="50C2E1A5">
            <w:pPr>
              <w:pBdr>
                <w:top w:val="nil"/>
                <w:left w:val="nil"/>
                <w:bottom w:val="nil"/>
                <w:right w:val="nil"/>
                <w:between w:val="nil"/>
              </w:pBdr>
              <w:jc w:val="both"/>
              <w:rPr>
                <w:rFonts w:ascii="Cambria" w:hAnsi="Cambria"/>
                <w:b/>
                <w:bCs/>
              </w:rPr>
            </w:pPr>
            <w:r w:rsidRPr="036F23E2">
              <w:rPr>
                <w:rFonts w:ascii="Cambria" w:hAnsi="Cambria"/>
                <w:b/>
                <w:bCs/>
              </w:rPr>
              <w:t>Mentor summary of trainee response:</w:t>
            </w:r>
          </w:p>
          <w:p w:rsidR="00B5000E" w:rsidP="6C53551C" w:rsidRDefault="00B5000E" w14:paraId="52369B8A" w14:textId="77777777">
            <w:pPr>
              <w:pBdr>
                <w:top w:val="nil"/>
                <w:left w:val="nil"/>
                <w:bottom w:val="nil"/>
                <w:right w:val="nil"/>
                <w:between w:val="nil"/>
              </w:pBdr>
              <w:ind w:left="720"/>
              <w:jc w:val="both"/>
              <w:rPr>
                <w:rFonts w:ascii="Cambria" w:hAnsi="Cambria"/>
                <w:b/>
                <w:bCs/>
              </w:rPr>
            </w:pPr>
          </w:p>
          <w:p w:rsidRPr="00523D39" w:rsidR="005F4A4E" w:rsidP="6C53551C" w:rsidRDefault="005F4A4E" w14:paraId="100E8A0E" w14:textId="77777777">
            <w:pPr>
              <w:pBdr>
                <w:top w:val="nil"/>
                <w:left w:val="nil"/>
                <w:bottom w:val="nil"/>
                <w:right w:val="nil"/>
                <w:between w:val="nil"/>
              </w:pBdr>
              <w:ind w:left="720"/>
              <w:jc w:val="both"/>
              <w:rPr>
                <w:rFonts w:ascii="Cambria" w:hAnsi="Cambria"/>
                <w:b/>
                <w:bCs/>
              </w:rPr>
            </w:pPr>
          </w:p>
          <w:p w:rsidR="2E467C1C" w:rsidP="3AD6CA30" w:rsidRDefault="2E467C1C" w14:paraId="35E74AF4" w14:textId="55AFBA36">
            <w:pPr>
              <w:pBdr>
                <w:top w:val="nil" w:color="000000" w:sz="0" w:space="0"/>
                <w:left w:val="nil" w:color="000000" w:sz="0" w:space="0"/>
                <w:bottom w:val="nil" w:color="000000" w:sz="0" w:space="0"/>
                <w:right w:val="nil" w:color="000000" w:sz="0" w:space="0"/>
                <w:between w:val="nil" w:color="000000" w:sz="0" w:space="0"/>
              </w:pBdr>
              <w:jc w:val="both"/>
              <w:rPr>
                <w:rFonts w:ascii="Cambria" w:hAnsi="Cambria"/>
                <w:b w:val="1"/>
                <w:bCs w:val="1"/>
              </w:rPr>
            </w:pPr>
            <w:r w:rsidRPr="3AD6CA30" w:rsidR="2E467C1C">
              <w:rPr>
                <w:rFonts w:ascii="Cambria" w:hAnsi="Cambria"/>
                <w:b w:val="1"/>
                <w:bCs w:val="1"/>
              </w:rPr>
              <w:t>Q2:</w:t>
            </w:r>
            <w:r w:rsidRPr="3AD6CA30" w:rsidR="41F9C91E">
              <w:rPr>
                <w:rFonts w:ascii="Cambria" w:hAnsi="Cambria"/>
                <w:b w:val="1"/>
                <w:bCs w:val="1"/>
              </w:rPr>
              <w:t xml:space="preserve"> </w:t>
            </w:r>
            <w:r w:rsidRPr="3AD6CA30" w:rsidR="4ABE7ABD">
              <w:rPr>
                <w:rFonts w:ascii="Cambria" w:hAnsi="Cambria"/>
                <w:b w:val="1"/>
                <w:bCs w:val="1"/>
              </w:rPr>
              <w:t>How do you adapt instruction to stretch and challenge pupils of varying abilities in your subject area? Evaluate an example of an activity that has worked well.</w:t>
            </w:r>
          </w:p>
          <w:p w:rsidRPr="00523D39" w:rsidR="00B5000E" w:rsidP="6C53551C" w:rsidRDefault="2E467C1C" w14:paraId="22BB80EE" w14:textId="77777777">
            <w:pPr>
              <w:pBdr>
                <w:top w:val="nil"/>
                <w:left w:val="nil"/>
                <w:bottom w:val="nil"/>
                <w:right w:val="nil"/>
                <w:between w:val="nil"/>
              </w:pBdr>
              <w:jc w:val="both"/>
              <w:rPr>
                <w:rFonts w:ascii="Cambria" w:hAnsi="Cambria"/>
                <w:b/>
                <w:bCs/>
              </w:rPr>
            </w:pPr>
            <w:r w:rsidRPr="6C53551C">
              <w:rPr>
                <w:rFonts w:ascii="Cambria" w:hAnsi="Cambria"/>
                <w:b/>
                <w:bCs/>
              </w:rPr>
              <w:t>Mentor summary of trainee response:</w:t>
            </w:r>
          </w:p>
          <w:p w:rsidRPr="00523D39" w:rsidR="008B1D2B" w:rsidP="6C53551C" w:rsidRDefault="008B1D2B" w14:paraId="11852BB5" w14:textId="27192A8F">
            <w:pPr>
              <w:pBdr>
                <w:top w:val="nil"/>
                <w:left w:val="nil"/>
                <w:bottom w:val="nil"/>
                <w:right w:val="nil"/>
                <w:between w:val="nil"/>
              </w:pBdr>
              <w:jc w:val="both"/>
              <w:rPr>
                <w:rFonts w:ascii="Cambria" w:hAnsi="Cambria"/>
              </w:rPr>
            </w:pPr>
          </w:p>
        </w:tc>
      </w:tr>
      <w:tr w:rsidRPr="00F07217" w:rsidR="00B5000E" w:rsidTr="3AD6CA30" w14:paraId="69758A50" w14:textId="77777777">
        <w:trPr>
          <w:trHeight w:val="1676"/>
        </w:trPr>
        <w:tc>
          <w:tcPr>
            <w:tcW w:w="1790" w:type="dxa"/>
            <w:tcBorders>
              <w:top w:val="single" w:color="auto" w:sz="4" w:space="0"/>
              <w:left w:val="single" w:color="auto" w:sz="4" w:space="0"/>
              <w:bottom w:val="single" w:color="auto" w:sz="4" w:space="0"/>
              <w:right w:val="single" w:color="auto" w:sz="4" w:space="0"/>
            </w:tcBorders>
            <w:tcMar/>
          </w:tcPr>
          <w:p w:rsidRPr="00523D39" w:rsidR="00B5000E" w:rsidP="00B5000E" w:rsidRDefault="00B5000E" w14:paraId="6D3D2A77" w14:textId="77777777">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Additional notes from mentor meeting</w:t>
            </w:r>
          </w:p>
          <w:p w:rsidRPr="00523D39" w:rsidR="00560FE2" w:rsidP="00B5000E" w:rsidRDefault="00A27B4C" w14:paraId="788494D3" w14:textId="658111FE">
            <w:pPr>
              <w:spacing w:line="237" w:lineRule="auto"/>
              <w:jc w:val="center"/>
              <w:rPr>
                <w:rFonts w:ascii="Cambria" w:hAnsi="Cambria" w:eastAsia="Georg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rsidRPr="00523D39" w:rsidR="00560FE2" w:rsidP="00B5000E" w:rsidRDefault="00560FE2" w14:paraId="5B450E15" w14:textId="55099F9D">
            <w:pPr>
              <w:spacing w:line="237" w:lineRule="auto"/>
              <w:jc w:val="center"/>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523D39" w:rsidR="00B5000E" w:rsidP="00B5000E" w:rsidRDefault="00E5003C" w14:paraId="2A346587" w14:textId="44948548">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Pr="00523D39" w:rsidR="00AB1862">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Pr="00523D39" w:rsidR="00AB1862">
              <w:rPr>
                <w:rFonts w:ascii="Cambria" w:hAnsi="Cambria" w:cs="Calibri"/>
                <w:color w:val="201F1E"/>
                <w:sz w:val="20"/>
                <w:szCs w:val="20"/>
              </w:rPr>
              <w:t xml:space="preserve">, </w:t>
            </w:r>
            <w:r w:rsidRPr="00523D39">
              <w:rPr>
                <w:rFonts w:ascii="Cambria" w:hAnsi="Cambria" w:cs="Calibri"/>
                <w:color w:val="201F1E"/>
                <w:sz w:val="20"/>
                <w:szCs w:val="20"/>
              </w:rPr>
              <w:t>relevant CPD</w:t>
            </w:r>
            <w:r w:rsidRPr="00523D39" w:rsidR="00AB1862">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rsidRPr="00523D39" w:rsidR="00B5000E" w:rsidP="00B5000E" w:rsidRDefault="00B5000E" w14:paraId="399FF43D" w14:textId="77777777">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7417A361" w14:textId="49E3B7D3">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ED7F194" w14:textId="45A6050C">
            <w:pPr>
              <w:pStyle w:val="xmsolistparagraph"/>
              <w:shd w:val="clear" w:color="auto" w:fill="FFFFFF"/>
              <w:spacing w:before="0" w:beforeAutospacing="0" w:after="0" w:afterAutospacing="0"/>
              <w:rPr>
                <w:rFonts w:ascii="Cambria" w:hAnsi="Cambria" w:cs="Calibri"/>
                <w:color w:val="201F1E"/>
                <w:sz w:val="20"/>
                <w:szCs w:val="20"/>
              </w:rPr>
            </w:pPr>
          </w:p>
          <w:p w:rsidRPr="00523D39" w:rsidR="00B5000E" w:rsidP="00B5000E" w:rsidRDefault="00B5000E" w14:paraId="033A2A4D" w14:textId="1C9AE883">
            <w:pPr>
              <w:pStyle w:val="xmsolistparagraph"/>
              <w:shd w:val="clear" w:color="auto" w:fill="FFFFFF"/>
              <w:spacing w:before="0" w:beforeAutospacing="0" w:after="0" w:afterAutospacing="0"/>
              <w:ind w:left="720"/>
              <w:rPr>
                <w:rFonts w:ascii="Cambria" w:hAnsi="Cambria" w:cs="Calibri"/>
                <w:color w:val="201F1E"/>
                <w:sz w:val="20"/>
                <w:szCs w:val="20"/>
              </w:rPr>
            </w:pPr>
          </w:p>
        </w:tc>
      </w:tr>
      <w:tr w:rsidRPr="00F07217" w:rsidR="00581390" w:rsidTr="3AD6CA30" w14:paraId="4D4EF814" w14:textId="77777777">
        <w:trPr>
          <w:trHeight w:val="602"/>
        </w:trPr>
        <w:tc>
          <w:tcPr>
            <w:tcW w:w="1790" w:type="dxa"/>
            <w:vMerge w:val="restart"/>
            <w:tcBorders>
              <w:top w:val="single" w:color="auto" w:sz="4" w:space="0"/>
              <w:left w:val="single" w:color="auto" w:sz="4" w:space="0"/>
              <w:right w:val="single" w:color="auto" w:sz="4" w:space="0"/>
            </w:tcBorders>
            <w:tcMar/>
          </w:tcPr>
          <w:p w:rsidRPr="00523D39" w:rsidR="00581390" w:rsidP="00B5000E" w:rsidRDefault="00581390" w14:paraId="1E3F347B" w14:textId="633E03BE">
            <w:pPr>
              <w:spacing w:line="237" w:lineRule="auto"/>
              <w:jc w:val="center"/>
              <w:rPr>
                <w:rFonts w:ascii="Cambria" w:hAnsi="Cambria" w:eastAsia="Georgia" w:cs="Georgia"/>
                <w:b/>
                <w:sz w:val="20"/>
                <w:szCs w:val="20"/>
              </w:rPr>
            </w:pPr>
            <w:r w:rsidRPr="00523D39">
              <w:rPr>
                <w:rFonts w:ascii="Cambria" w:hAnsi="Cambria" w:eastAsia="Georg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color="auto" w:sz="4" w:space="0"/>
              <w:left w:val="single" w:color="auto" w:sz="4" w:space="0"/>
              <w:bottom w:val="single" w:color="auto" w:sz="4" w:space="0"/>
              <w:right w:val="single" w:color="auto" w:sz="4" w:space="0"/>
            </w:tcBorders>
            <w:tcMar/>
          </w:tcPr>
          <w:p w:rsidRPr="00ED360A" w:rsidR="00581390" w:rsidP="00ED360A" w:rsidRDefault="00581390" w14:paraId="446404A2" w14:textId="7777777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99"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79CD1FEE" w14:textId="26B106D7">
            <w:pPr>
              <w:jc w:val="center"/>
              <w:rPr>
                <w:rFonts w:ascii="Cambria" w:hAnsi="Cambria"/>
                <w:b/>
                <w:bCs/>
                <w:sz w:val="20"/>
                <w:szCs w:val="20"/>
              </w:rPr>
            </w:pPr>
            <w:r w:rsidRPr="00523D39">
              <w:rPr>
                <w:rFonts w:ascii="Cambria" w:hAnsi="Cambria"/>
                <w:b/>
                <w:bCs/>
                <w:sz w:val="20"/>
                <w:szCs w:val="20"/>
              </w:rPr>
              <w:t>Y/N</w:t>
            </w:r>
          </w:p>
        </w:tc>
      </w:tr>
      <w:tr w:rsidRPr="00F07217" w:rsidR="00581390" w:rsidTr="3AD6CA30" w14:paraId="4C9AB2A3" w14:textId="77777777">
        <w:trPr>
          <w:trHeight w:val="602"/>
        </w:trPr>
        <w:tc>
          <w:tcPr>
            <w:tcW w:w="1790" w:type="dxa"/>
            <w:vMerge/>
            <w:tcMar/>
          </w:tcPr>
          <w:p w:rsidRPr="00523D39" w:rsidR="00581390" w:rsidP="00B5000E" w:rsidRDefault="00581390" w14:paraId="286FBCB0" w14:textId="77777777">
            <w:pPr>
              <w:spacing w:line="237" w:lineRule="auto"/>
              <w:jc w:val="center"/>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2073B3" w:rsidR="00581390" w:rsidP="00B5000E" w:rsidRDefault="00581390" w14:paraId="61A68720" w14:textId="3D481725">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581390" w:rsidTr="3AD6CA30" w14:paraId="221DFBA4" w14:textId="77777777">
        <w:trPr>
          <w:trHeight w:val="602"/>
        </w:trPr>
        <w:tc>
          <w:tcPr>
            <w:tcW w:w="1790" w:type="dxa"/>
            <w:vMerge/>
            <w:tcMar/>
          </w:tcPr>
          <w:p w:rsidRPr="00523D39" w:rsidR="00581390" w:rsidP="00B5000E" w:rsidRDefault="00581390" w14:paraId="1FABDBA3" w14:textId="77777777">
            <w:pPr>
              <w:spacing w:line="237" w:lineRule="auto"/>
              <w:jc w:val="center"/>
              <w:rPr>
                <w:rFonts w:ascii="Cambria" w:hAnsi="Cambria" w:eastAsia="Georgia" w:cs="Georgia"/>
                <w:b/>
                <w:sz w:val="20"/>
                <w:szCs w:val="20"/>
              </w:rPr>
            </w:pPr>
          </w:p>
        </w:tc>
        <w:tc>
          <w:tcPr>
            <w:tcW w:w="8892" w:type="dxa"/>
            <w:gridSpan w:val="9"/>
            <w:tcBorders>
              <w:top w:val="single" w:color="auto" w:sz="4" w:space="0"/>
              <w:left w:val="single" w:color="auto" w:sz="4" w:space="0"/>
              <w:bottom w:val="single" w:color="auto" w:sz="4" w:space="0"/>
              <w:right w:val="single" w:color="auto" w:sz="4" w:space="0"/>
            </w:tcBorders>
            <w:tcMar/>
          </w:tcPr>
          <w:p w:rsidRPr="00523D39" w:rsidR="00581390" w:rsidP="00B5000E" w:rsidRDefault="00581390" w14:paraId="4E6B3FBC" w14:textId="7777777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hAnsi="Cambria" w:eastAsia="Calibri" w:cs="Calibri"/>
                <w:b/>
                <w:bCs/>
                <w:color w:val="000000"/>
                <w:sz w:val="20"/>
                <w:szCs w:val="20"/>
              </w:rPr>
              <w:t>Has the trainee’s wellbeing been discussed?</w:t>
            </w:r>
          </w:p>
        </w:tc>
        <w:tc>
          <w:tcPr>
            <w:tcW w:w="799" w:type="dxa"/>
            <w:gridSpan w:val="2"/>
            <w:tcBorders>
              <w:top w:val="single" w:color="auto" w:sz="4" w:space="0"/>
              <w:left w:val="single" w:color="auto" w:sz="4" w:space="0"/>
              <w:bottom w:val="single" w:color="auto" w:sz="4" w:space="0"/>
              <w:right w:val="single" w:color="auto" w:sz="4" w:space="0"/>
            </w:tcBorders>
            <w:tcMar/>
          </w:tcPr>
          <w:p w:rsidRPr="00D9275F" w:rsidR="00581390" w:rsidP="00D9275F" w:rsidRDefault="00581390" w14:paraId="1F15CB1E" w14:textId="681316B7">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Pr="00F07217" w:rsidR="00581390" w:rsidTr="3AD6CA30" w14:paraId="3DA04B76" w14:textId="77777777">
        <w:trPr>
          <w:trHeight w:val="602"/>
        </w:trPr>
        <w:tc>
          <w:tcPr>
            <w:tcW w:w="1790" w:type="dxa"/>
            <w:tcBorders>
              <w:left w:val="single" w:color="auto" w:sz="4" w:space="0"/>
              <w:right w:val="single" w:color="auto" w:sz="4" w:space="0"/>
            </w:tcBorders>
            <w:tcMar/>
          </w:tcPr>
          <w:p w:rsidRPr="00523D39" w:rsidR="00581390" w:rsidP="00581390" w:rsidRDefault="00581390" w14:paraId="14C9BBCF" w14:textId="77777777">
            <w:pPr>
              <w:spacing w:line="237" w:lineRule="auto"/>
              <w:rPr>
                <w:rFonts w:ascii="Cambria" w:hAnsi="Cambria" w:eastAsia="Georgia" w:cs="Georgia"/>
                <w:b/>
                <w:sz w:val="20"/>
                <w:szCs w:val="20"/>
              </w:rPr>
            </w:pPr>
          </w:p>
        </w:tc>
        <w:tc>
          <w:tcPr>
            <w:tcW w:w="9691" w:type="dxa"/>
            <w:gridSpan w:val="11"/>
            <w:tcBorders>
              <w:top w:val="single" w:color="auto" w:sz="4" w:space="0"/>
              <w:left w:val="single" w:color="auto" w:sz="4" w:space="0"/>
              <w:bottom w:val="single" w:color="auto" w:sz="4" w:space="0"/>
              <w:right w:val="single" w:color="auto" w:sz="4" w:space="0"/>
            </w:tcBorders>
            <w:tcMar/>
          </w:tcPr>
          <w:p w:rsidRPr="002073B3" w:rsidR="00581390" w:rsidP="00581390" w:rsidRDefault="00581390" w14:paraId="1A36A68E" w14:textId="28EE2F66">
            <w:pPr>
              <w:pStyle w:val="xmsolistparagraph"/>
              <w:shd w:val="clear" w:color="auto" w:fill="FFFFFF"/>
              <w:spacing w:before="0" w:beforeAutospacing="0" w:after="0" w:afterAutospacing="0"/>
              <w:rPr>
                <w:rFonts w:ascii="Cambria" w:hAnsi="Cambria" w:eastAsia="Calibri" w:cs="Calibri"/>
                <w:color w:val="000000"/>
                <w:sz w:val="20"/>
                <w:szCs w:val="20"/>
              </w:rPr>
            </w:pPr>
            <w:r w:rsidRPr="002073B3">
              <w:rPr>
                <w:rFonts w:ascii="Cambria" w:hAnsi="Cambria" w:eastAsia="Calibri" w:cs="Calibri"/>
                <w:color w:val="000000"/>
                <w:sz w:val="20"/>
                <w:szCs w:val="20"/>
              </w:rPr>
              <w:t>Actions or follow up (if needed)</w:t>
            </w:r>
          </w:p>
        </w:tc>
      </w:tr>
      <w:tr w:rsidRPr="00F07217" w:rsidR="00FB38FA" w:rsidTr="3AD6CA30" w14:paraId="1EFF03BD" w14:textId="77777777">
        <w:trPr>
          <w:trHeight w:val="301"/>
        </w:trPr>
        <w:tc>
          <w:tcPr>
            <w:tcW w:w="1790" w:type="dxa"/>
            <w:vMerge w:val="restart"/>
            <w:tcBorders>
              <w:top w:val="single" w:color="auto" w:sz="4" w:space="0"/>
              <w:left w:val="single" w:color="auto" w:sz="4" w:space="0"/>
              <w:right w:val="single" w:color="auto" w:sz="4" w:space="0"/>
            </w:tcBorders>
            <w:tcMar/>
          </w:tcPr>
          <w:p w:rsidRPr="00523D39" w:rsidR="00FB38FA" w:rsidP="00B5000E" w:rsidRDefault="00BA06A2" w14:paraId="78D25B1F" w14:textId="6EA1D7F1">
            <w:pPr>
              <w:spacing w:line="237" w:lineRule="auto"/>
              <w:jc w:val="center"/>
              <w:rPr>
                <w:rFonts w:ascii="Cambria" w:hAnsi="Cambria" w:eastAsia="Georgia" w:cs="Georgia"/>
                <w:b/>
                <w:sz w:val="20"/>
                <w:szCs w:val="20"/>
              </w:rPr>
            </w:pPr>
            <w:r>
              <w:rPr>
                <w:rFonts w:ascii="Cambria" w:hAnsi="Cambria" w:eastAsia="Georgia" w:cs="Georgia"/>
                <w:b/>
                <w:sz w:val="20"/>
                <w:szCs w:val="20"/>
              </w:rPr>
              <w:t>Opportunities identified for progress</w:t>
            </w:r>
            <w:r w:rsidRPr="00523D39" w:rsidR="00FB38FA">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9516C0A" w14:textId="6B211BF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93" w:type="dxa"/>
            <w:gridSpan w:val="6"/>
            <w:tcBorders>
              <w:top w:val="single" w:color="auto" w:sz="4" w:space="0"/>
              <w:left w:val="single" w:color="auto" w:sz="4" w:space="0"/>
              <w:bottom w:val="single" w:color="auto" w:sz="4" w:space="0"/>
              <w:right w:val="single" w:color="auto" w:sz="4" w:space="0"/>
            </w:tcBorders>
            <w:shd w:val="clear" w:color="auto" w:fill="E7E6E6" w:themeFill="background2"/>
            <w:tcMar/>
          </w:tcPr>
          <w:p w:rsidRPr="00523D39" w:rsidR="00FB38FA" w:rsidP="00387F4F" w:rsidRDefault="00FB38FA" w14:paraId="38FEB8A9" w14:textId="3855A4E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Pr="00F07217" w:rsidR="00FB38FA" w:rsidTr="3AD6CA30" w14:paraId="19ADFC6E" w14:textId="77777777">
        <w:trPr>
          <w:trHeight w:val="301"/>
        </w:trPr>
        <w:tc>
          <w:tcPr>
            <w:tcW w:w="1790" w:type="dxa"/>
            <w:vMerge/>
            <w:tcMar/>
          </w:tcPr>
          <w:p w:rsidRPr="00523D39" w:rsidR="00FB38FA" w:rsidP="00B5000E" w:rsidRDefault="00FB38FA" w14:paraId="317BB4BF"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4B7A6363" w14:textId="03E62649">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1D1D38F" w14:textId="440D40C3">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3AD6CA30" w14:paraId="48262457" w14:textId="77777777">
        <w:trPr>
          <w:trHeight w:val="301"/>
        </w:trPr>
        <w:tc>
          <w:tcPr>
            <w:tcW w:w="1790" w:type="dxa"/>
            <w:vMerge/>
            <w:tcMar/>
          </w:tcPr>
          <w:p w:rsidRPr="00523D39" w:rsidR="00FB38FA" w:rsidP="00B5000E" w:rsidRDefault="00FB38FA" w14:paraId="42B9B598"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20ABC3DA" w14:textId="4A4CA355">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69785372" w14:textId="300DE8E1">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FB38FA" w:rsidTr="3AD6CA30" w14:paraId="4FEC5910" w14:textId="77777777">
        <w:trPr>
          <w:trHeight w:val="301"/>
        </w:trPr>
        <w:tc>
          <w:tcPr>
            <w:tcW w:w="1790" w:type="dxa"/>
            <w:vMerge/>
            <w:tcMar/>
          </w:tcPr>
          <w:p w:rsidRPr="00523D39" w:rsidR="00FB38FA" w:rsidP="00B5000E" w:rsidRDefault="00FB38FA" w14:paraId="7A4CF4F8" w14:textId="77777777">
            <w:pPr>
              <w:spacing w:line="237" w:lineRule="auto"/>
              <w:jc w:val="center"/>
              <w:rPr>
                <w:rFonts w:ascii="Cambria" w:hAnsi="Cambria"/>
                <w:noProof/>
                <w:sz w:val="20"/>
                <w:szCs w:val="20"/>
              </w:rPr>
            </w:pPr>
          </w:p>
        </w:tc>
        <w:tc>
          <w:tcPr>
            <w:tcW w:w="4798" w:type="dxa"/>
            <w:gridSpan w:val="5"/>
            <w:tcBorders>
              <w:top w:val="single" w:color="auto" w:sz="4" w:space="0"/>
              <w:left w:val="single" w:color="auto" w:sz="4" w:space="0"/>
              <w:bottom w:val="single" w:color="auto" w:sz="4" w:space="0"/>
              <w:right w:val="single" w:color="auto" w:sz="4" w:space="0"/>
            </w:tcBorders>
            <w:tcMar/>
          </w:tcPr>
          <w:p w:rsidRPr="00523D39" w:rsidR="00FB38FA" w:rsidP="00387F4F" w:rsidRDefault="00BA06A2" w14:paraId="55CCE2C3" w14:textId="478E39C4">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93" w:type="dxa"/>
            <w:gridSpan w:val="6"/>
            <w:tcBorders>
              <w:top w:val="single" w:color="auto" w:sz="4" w:space="0"/>
              <w:left w:val="single" w:color="auto" w:sz="4" w:space="0"/>
              <w:bottom w:val="single" w:color="auto" w:sz="4" w:space="0"/>
              <w:right w:val="single" w:color="auto" w:sz="4" w:space="0"/>
            </w:tcBorders>
            <w:tcMar/>
          </w:tcPr>
          <w:p w:rsidRPr="00523D39" w:rsidR="00FB38FA" w:rsidP="00387F4F" w:rsidRDefault="00FB38FA" w14:paraId="755EC65A" w14:textId="4BA360FF">
            <w:pPr>
              <w:pStyle w:val="xmsolistparagraph"/>
              <w:shd w:val="clear" w:color="auto" w:fill="FFFFFF"/>
              <w:spacing w:before="0" w:beforeAutospacing="0" w:after="0" w:afterAutospacing="0"/>
              <w:rPr>
                <w:rFonts w:ascii="Cambria" w:hAnsi="Cambria" w:cs="Calibri"/>
                <w:b/>
                <w:bCs/>
                <w:color w:val="201F1E"/>
                <w:sz w:val="20"/>
                <w:szCs w:val="20"/>
              </w:rPr>
            </w:pPr>
          </w:p>
        </w:tc>
      </w:tr>
      <w:tr w:rsidRPr="00F07217" w:rsidR="00402356" w:rsidTr="3AD6CA30" w14:paraId="3CBB1465" w14:textId="77777777">
        <w:trPr>
          <w:trHeight w:val="413"/>
        </w:trPr>
        <w:tc>
          <w:tcPr>
            <w:tcW w:w="11481" w:type="dxa"/>
            <w:gridSpan w:val="12"/>
            <w:tcBorders>
              <w:top w:val="single" w:color="auto" w:sz="4" w:space="0"/>
              <w:left w:val="single" w:color="auto" w:sz="4" w:space="0"/>
              <w:bottom w:val="single" w:color="auto" w:sz="4" w:space="0"/>
              <w:right w:val="single" w:color="auto" w:sz="4" w:space="0"/>
            </w:tcBorders>
            <w:shd w:val="clear" w:color="auto" w:fill="FFFF00"/>
            <w:tcMar/>
          </w:tcPr>
          <w:p w:rsidRPr="00F83C7A" w:rsidR="00C95C29" w:rsidP="00C95C29" w:rsidRDefault="00402356" w14:paraId="5934773A" w14:textId="0D7F328E">
            <w:pPr>
              <w:rPr>
                <w:rFonts w:ascii="Cambria" w:hAnsi="Cambria" w:cs="Arial"/>
                <w:b/>
                <w:bCs/>
                <w:sz w:val="20"/>
                <w:szCs w:val="20"/>
              </w:rPr>
            </w:pPr>
            <w:r w:rsidRPr="00F83C7A">
              <w:rPr>
                <w:rFonts w:ascii="Cambria" w:hAnsi="Cambria" w:cs="Arial"/>
                <w:b/>
                <w:sz w:val="20"/>
                <w:szCs w:val="20"/>
              </w:rPr>
              <w:t>Current progress would suggest that</w:t>
            </w:r>
            <w:r w:rsidRPr="00F83C7A" w:rsidR="005511A4">
              <w:rPr>
                <w:rFonts w:ascii="Cambria" w:hAnsi="Cambria" w:cs="Arial"/>
                <w:b/>
                <w:sz w:val="20"/>
                <w:szCs w:val="20"/>
              </w:rPr>
              <w:t xml:space="preserve"> </w:t>
            </w:r>
            <w:r w:rsidRPr="00F83C7A" w:rsidR="00C95C29">
              <w:rPr>
                <w:rFonts w:ascii="Cambria" w:hAnsi="Cambria" w:cs="Arial"/>
                <w:b/>
                <w:sz w:val="20"/>
                <w:szCs w:val="20"/>
              </w:rPr>
              <w:t>t</w:t>
            </w:r>
            <w:r w:rsidRPr="00F83C7A" w:rsidR="00C95C29">
              <w:rPr>
                <w:rFonts w:ascii="Cambria" w:hAnsi="Cambria" w:cs="Arial"/>
                <w:b/>
                <w:bCs/>
                <w:sz w:val="20"/>
                <w:szCs w:val="20"/>
              </w:rPr>
              <w:t>he trainee is making sufficient progress through the curriculum to proceed</w:t>
            </w:r>
            <w:r w:rsidRPr="00F83C7A" w:rsidR="00470596">
              <w:rPr>
                <w:rFonts w:ascii="Cambria" w:hAnsi="Cambria" w:cs="Arial"/>
                <w:b/>
                <w:bCs/>
                <w:sz w:val="20"/>
                <w:szCs w:val="20"/>
              </w:rPr>
              <w:t>:</w:t>
            </w:r>
          </w:p>
          <w:p w:rsidRPr="00F83C7A" w:rsidR="00C95C29" w:rsidP="00C95C29" w:rsidRDefault="00C00230" w14:paraId="4CCEE12F" w14:textId="171806A8">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Yes</w:t>
            </w:r>
            <w:r w:rsidRPr="00F83C7A" w:rsidR="00132F3C">
              <w:rPr>
                <w:rFonts w:ascii="Cambria" w:hAnsi="Cambria" w:cs="Arial"/>
                <w:b/>
                <w:bCs/>
                <w:sz w:val="20"/>
                <w:szCs w:val="20"/>
              </w:rPr>
              <w:t>, trainee is making sufficient progress through the curriculum.</w:t>
            </w:r>
          </w:p>
          <w:p w:rsidRPr="00F83C7A" w:rsidR="0036642F" w:rsidP="0036642F" w:rsidRDefault="00C00230" w14:paraId="015224A5" w14:textId="60008F38">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Pr="00F83C7A" w:rsidR="0036642F">
                  <w:rPr>
                    <w:rFonts w:ascii="Segoe UI Symbol" w:hAnsi="Segoe UI Symbol" w:eastAsia="MS Gothic" w:cs="Segoe UI Symbol"/>
                    <w:b/>
                    <w:bCs/>
                    <w:sz w:val="20"/>
                    <w:szCs w:val="20"/>
                  </w:rPr>
                  <w:t>☐</w:t>
                </w:r>
              </w:sdtContent>
            </w:sdt>
            <w:r w:rsidRPr="00F83C7A" w:rsidR="0036642F">
              <w:rPr>
                <w:rFonts w:ascii="Cambria" w:hAnsi="Cambria" w:cs="Arial"/>
                <w:b/>
                <w:bCs/>
                <w:sz w:val="20"/>
                <w:szCs w:val="20"/>
              </w:rPr>
              <w:t xml:space="preserve">  Yes, </w:t>
            </w:r>
            <w:r w:rsidRPr="00F83C7A" w:rsidR="00132F3C">
              <w:rPr>
                <w:rFonts w:ascii="Cambria" w:hAnsi="Cambria" w:cs="Arial"/>
                <w:b/>
                <w:bCs/>
                <w:sz w:val="20"/>
                <w:szCs w:val="20"/>
              </w:rPr>
              <w:t xml:space="preserve">trainee is making sufficient progress through the curriculum, </w:t>
            </w:r>
            <w:r w:rsidRPr="00F83C7A" w:rsidR="0036642F">
              <w:rPr>
                <w:rFonts w:ascii="Cambria" w:hAnsi="Cambria" w:cs="Arial"/>
                <w:b/>
                <w:bCs/>
                <w:sz w:val="20"/>
                <w:szCs w:val="20"/>
              </w:rPr>
              <w:t xml:space="preserve">but this </w:t>
            </w:r>
            <w:r w:rsidRPr="00F83C7A" w:rsidR="004933A3">
              <w:rPr>
                <w:rFonts w:ascii="Cambria" w:hAnsi="Cambria" w:cs="Arial"/>
                <w:b/>
                <w:bCs/>
                <w:sz w:val="20"/>
                <w:szCs w:val="20"/>
              </w:rPr>
              <w:t xml:space="preserve">has </w:t>
            </w:r>
            <w:r w:rsidRPr="00F83C7A" w:rsidR="0036642F">
              <w:rPr>
                <w:rFonts w:ascii="Cambria" w:hAnsi="Cambria" w:cs="Arial"/>
                <w:b/>
                <w:bCs/>
                <w:sz w:val="20"/>
                <w:szCs w:val="20"/>
              </w:rPr>
              <w:t xml:space="preserve">required additional support </w:t>
            </w:r>
            <w:r w:rsidRPr="00F83C7A" w:rsidR="0036642F">
              <w:rPr>
                <w:rFonts w:ascii="Cambria" w:hAnsi="Cambria" w:cs="Arial"/>
                <w:b/>
                <w:bCs/>
                <w:sz w:val="14"/>
                <w:szCs w:val="14"/>
              </w:rPr>
              <w:t>(pleas</w:t>
            </w:r>
            <w:r w:rsidRPr="00F83C7A" w:rsidR="004009A7">
              <w:rPr>
                <w:rFonts w:ascii="Cambria" w:hAnsi="Cambria" w:cs="Arial"/>
                <w:b/>
                <w:bCs/>
                <w:sz w:val="14"/>
                <w:szCs w:val="14"/>
              </w:rPr>
              <w:t>e list the additional support provided below</w:t>
            </w:r>
            <w:r w:rsidRPr="00F83C7A" w:rsidR="004933A3">
              <w:rPr>
                <w:rFonts w:ascii="Cambria" w:hAnsi="Cambria" w:cs="Arial"/>
                <w:b/>
                <w:bCs/>
                <w:sz w:val="14"/>
                <w:szCs w:val="14"/>
              </w:rPr>
              <w:t xml:space="preserve">. For example, a reduction in teaching load, additional meetings, </w:t>
            </w:r>
            <w:r w:rsidRPr="00F83C7A" w:rsidR="009606AB">
              <w:rPr>
                <w:rFonts w:ascii="Cambria" w:hAnsi="Cambria" w:cs="Arial"/>
                <w:b/>
                <w:bCs/>
                <w:sz w:val="14"/>
                <w:szCs w:val="14"/>
              </w:rPr>
              <w:t>use of team-teaching etc</w:t>
            </w:r>
            <w:r w:rsidRPr="00F83C7A" w:rsidR="004009A7">
              <w:rPr>
                <w:rFonts w:ascii="Cambria" w:hAnsi="Cambria" w:cs="Arial"/>
                <w:b/>
                <w:bCs/>
                <w:sz w:val="20"/>
                <w:szCs w:val="20"/>
              </w:rPr>
              <w:t>)</w:t>
            </w:r>
            <w:r w:rsidR="00F83C7A">
              <w:rPr>
                <w:rFonts w:ascii="Cambria" w:hAnsi="Cambria" w:cs="Arial"/>
                <w:b/>
                <w:bCs/>
                <w:sz w:val="20"/>
                <w:szCs w:val="20"/>
              </w:rPr>
              <w:t>.</w:t>
            </w:r>
          </w:p>
          <w:p w:rsidRPr="00F83C7A" w:rsidR="005113AE" w:rsidP="0036642F" w:rsidRDefault="005113AE" w14:paraId="33ECB3E4" w14:textId="77777777">
            <w:pPr>
              <w:rPr>
                <w:rFonts w:ascii="Cambria" w:hAnsi="Cambria" w:cs="Arial"/>
                <w:b/>
                <w:bCs/>
                <w:sz w:val="20"/>
                <w:szCs w:val="20"/>
              </w:rPr>
            </w:pPr>
          </w:p>
          <w:p w:rsidRPr="00F83C7A" w:rsidR="0036642F" w:rsidP="00C95C29" w:rsidRDefault="0036642F" w14:paraId="2DBD45D4" w14:textId="77777777">
            <w:pPr>
              <w:rPr>
                <w:rFonts w:ascii="Cambria" w:hAnsi="Cambria" w:cs="Arial"/>
                <w:b/>
                <w:bCs/>
                <w:sz w:val="20"/>
                <w:szCs w:val="20"/>
              </w:rPr>
            </w:pPr>
          </w:p>
          <w:p w:rsidRPr="00F07217" w:rsidR="00402356" w:rsidP="00C95C29" w:rsidRDefault="00C00230" w14:paraId="24E9E9CD" w14:textId="13DABC56">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Pr="00F83C7A" w:rsidR="00C95C29">
                  <w:rPr>
                    <w:rFonts w:ascii="Segoe UI Symbol" w:hAnsi="Segoe UI Symbol" w:eastAsia="MS Gothic" w:cs="Segoe UI Symbol"/>
                    <w:b/>
                    <w:bCs/>
                    <w:sz w:val="20"/>
                    <w:szCs w:val="20"/>
                  </w:rPr>
                  <w:t>☐</w:t>
                </w:r>
              </w:sdtContent>
            </w:sdt>
            <w:r w:rsidRPr="00F83C7A" w:rsidR="00C95C29">
              <w:rPr>
                <w:rFonts w:ascii="Cambria" w:hAnsi="Cambria" w:cs="Arial"/>
                <w:b/>
                <w:bCs/>
                <w:sz w:val="20"/>
                <w:szCs w:val="20"/>
              </w:rPr>
              <w:t xml:space="preserve">  No, </w:t>
            </w:r>
            <w:r w:rsidRPr="00F83C7A" w:rsidR="005113AE">
              <w:rPr>
                <w:rFonts w:ascii="Cambria" w:hAnsi="Cambria" w:cs="Arial"/>
                <w:b/>
                <w:bCs/>
                <w:sz w:val="20"/>
                <w:szCs w:val="20"/>
              </w:rPr>
              <w:t xml:space="preserve">despite additional support </w:t>
            </w:r>
            <w:r w:rsidRPr="00F83C7A" w:rsidR="00D9612E">
              <w:rPr>
                <w:rFonts w:ascii="Cambria" w:hAnsi="Cambria" w:cs="Arial"/>
                <w:b/>
                <w:bCs/>
                <w:sz w:val="20"/>
                <w:szCs w:val="20"/>
              </w:rPr>
              <w:t xml:space="preserve">the </w:t>
            </w:r>
            <w:r w:rsidRPr="00F83C7A" w:rsidR="00DB4B64">
              <w:rPr>
                <w:rFonts w:ascii="Cambria" w:hAnsi="Cambria" w:cs="Arial"/>
                <w:b/>
                <w:bCs/>
                <w:sz w:val="20"/>
                <w:szCs w:val="20"/>
              </w:rPr>
              <w:t xml:space="preserve">trainee </w:t>
            </w:r>
            <w:r w:rsidRPr="00F83C7A" w:rsidR="00164C19">
              <w:rPr>
                <w:rFonts w:ascii="Cambria" w:hAnsi="Cambria" w:cs="Arial"/>
                <w:b/>
                <w:bCs/>
                <w:sz w:val="20"/>
                <w:szCs w:val="20"/>
              </w:rPr>
              <w:t xml:space="preserve">is not making sufficient progress through the curriculum. A </w:t>
            </w:r>
            <w:r w:rsidRPr="00F83C7A" w:rsidR="00DB4B64">
              <w:rPr>
                <w:rFonts w:ascii="Cambria" w:hAnsi="Cambria" w:cs="Arial"/>
                <w:b/>
                <w:bCs/>
                <w:sz w:val="20"/>
                <w:szCs w:val="20"/>
              </w:rPr>
              <w:t xml:space="preserve">Progress </w:t>
            </w:r>
            <w:r w:rsidRPr="00F83C7A" w:rsidR="009B3121">
              <w:rPr>
                <w:rFonts w:ascii="Cambria" w:hAnsi="Cambria" w:cs="Arial"/>
                <w:b/>
                <w:bCs/>
                <w:sz w:val="20"/>
                <w:szCs w:val="20"/>
              </w:rPr>
              <w:t xml:space="preserve">Support </w:t>
            </w:r>
            <w:r w:rsidRPr="00F83C7A" w:rsidR="00DB4B64">
              <w:rPr>
                <w:rFonts w:ascii="Cambria" w:hAnsi="Cambria" w:cs="Arial"/>
                <w:b/>
                <w:bCs/>
                <w:sz w:val="20"/>
                <w:szCs w:val="20"/>
              </w:rPr>
              <w:t>Plan</w:t>
            </w:r>
            <w:r w:rsidRPr="00F83C7A" w:rsidR="00164C19">
              <w:rPr>
                <w:rFonts w:ascii="Cambria" w:hAnsi="Cambria" w:cs="Arial"/>
                <w:b/>
                <w:bCs/>
                <w:sz w:val="20"/>
                <w:szCs w:val="20"/>
              </w:rPr>
              <w:t xml:space="preserve"> should be considered.</w:t>
            </w:r>
            <w:r w:rsidRPr="00F07217" w:rsidR="00DB4B64">
              <w:rPr>
                <w:rFonts w:ascii="Georgia" w:hAnsi="Georgia" w:cs="Arial"/>
                <w:b/>
                <w:bCs/>
                <w:sz w:val="24"/>
                <w:szCs w:val="24"/>
              </w:rPr>
              <w:t xml:space="preserve"> </w:t>
            </w:r>
          </w:p>
        </w:tc>
      </w:tr>
      <w:bookmarkEnd w:id="0"/>
    </w:tbl>
    <w:p w:rsidR="000C0420" w:rsidRDefault="000C0420" w14:paraId="1FF584B5" w14:textId="77777777">
      <w:pPr>
        <w:spacing w:after="0"/>
      </w:pPr>
    </w:p>
    <w:tbl>
      <w:tblPr>
        <w:tblW w:w="5331" w:type="pct"/>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ook w:val="0620" w:firstRow="1" w:lastRow="0" w:firstColumn="0" w:lastColumn="0" w:noHBand="1" w:noVBand="1"/>
      </w:tblPr>
      <w:tblGrid>
        <w:gridCol w:w="2411"/>
        <w:gridCol w:w="9072"/>
      </w:tblGrid>
      <w:tr w:rsidRPr="00736154" w:rsidR="005C4DE7" w:rsidTr="00F83C7A" w14:paraId="2B058134" w14:textId="77777777">
        <w:trPr>
          <w:trHeight w:val="448"/>
        </w:trPr>
        <w:tc>
          <w:tcPr>
            <w:tcW w:w="1050" w:type="pct"/>
            <w:shd w:val="clear" w:color="auto" w:fill="B4C6E7" w:themeFill="accent1" w:themeFillTint="66"/>
          </w:tcPr>
          <w:p w:rsidRPr="00F83C7A" w:rsidR="005C4DE7" w:rsidRDefault="005C4DE7" w14:paraId="22A85F45" w14:textId="77777777">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rsidRPr="00F83C7A" w:rsidR="005C4DE7" w:rsidRDefault="005C4DE7" w14:paraId="305B90D7" w14:textId="77777777">
            <w:pPr>
              <w:spacing w:after="0" w:line="240" w:lineRule="auto"/>
              <w:rPr>
                <w:rFonts w:ascii="Cambria" w:hAnsi="Cambria" w:cs="Arial"/>
                <w:b/>
              </w:rPr>
            </w:pPr>
          </w:p>
        </w:tc>
        <w:tc>
          <w:tcPr>
            <w:tcW w:w="3950" w:type="pct"/>
            <w:vAlign w:val="center"/>
          </w:tcPr>
          <w:p w:rsidRPr="00F83C7A" w:rsidR="005C4DE7" w:rsidRDefault="005C4DE7" w14:paraId="43D0597A" w14:textId="77777777">
            <w:pPr>
              <w:spacing w:after="0" w:line="240" w:lineRule="auto"/>
              <w:rPr>
                <w:rFonts w:ascii="Cambria" w:hAnsi="Cambria" w:cs="Arial"/>
                <w:bCs/>
              </w:rPr>
            </w:pPr>
          </w:p>
        </w:tc>
      </w:tr>
      <w:tr w:rsidRPr="00C05114" w:rsidR="005C4DE7" w:rsidTr="00F83C7A" w14:paraId="0152676E" w14:textId="77777777">
        <w:trPr>
          <w:trHeight w:val="448"/>
        </w:trPr>
        <w:tc>
          <w:tcPr>
            <w:tcW w:w="1050" w:type="pct"/>
            <w:shd w:val="clear" w:color="auto" w:fill="B4C6E7" w:themeFill="accent1" w:themeFillTint="66"/>
          </w:tcPr>
          <w:p w:rsidRPr="00F83C7A" w:rsidR="005C4DE7" w:rsidRDefault="005C4DE7" w14:paraId="138ACE6B" w14:textId="3921E529">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rsidRPr="00F83C7A" w:rsidR="005C4DE7" w:rsidRDefault="005C4DE7" w14:paraId="4F1D9292" w14:textId="77777777">
            <w:pPr>
              <w:spacing w:after="0" w:line="240" w:lineRule="auto"/>
              <w:rPr>
                <w:rFonts w:ascii="Cambria" w:hAnsi="Cambria" w:cs="Arial"/>
                <w:b/>
              </w:rPr>
            </w:pPr>
          </w:p>
        </w:tc>
        <w:tc>
          <w:tcPr>
            <w:tcW w:w="3950" w:type="pct"/>
            <w:vAlign w:val="center"/>
          </w:tcPr>
          <w:p w:rsidRPr="00F83C7A" w:rsidR="005C4DE7" w:rsidRDefault="005C4DE7" w14:paraId="3C8CD19E" w14:textId="77777777">
            <w:pPr>
              <w:spacing w:after="0" w:line="240" w:lineRule="auto"/>
              <w:rPr>
                <w:rFonts w:ascii="Cambria" w:hAnsi="Cambria" w:cs="Arial"/>
                <w:bCs/>
              </w:rPr>
            </w:pPr>
            <w:r w:rsidRPr="00F83C7A">
              <w:rPr>
                <w:rFonts w:ascii="Cambria" w:hAnsi="Cambria" w:cs="Arial"/>
                <w:bCs/>
              </w:rPr>
              <w:t xml:space="preserve"> </w:t>
            </w:r>
          </w:p>
        </w:tc>
      </w:tr>
      <w:tr w:rsidRPr="00C05114" w:rsidR="005C4DE7" w:rsidTr="00A7227A" w14:paraId="00DD1E78" w14:textId="77777777">
        <w:trPr>
          <w:trHeight w:val="448"/>
        </w:trPr>
        <w:tc>
          <w:tcPr>
            <w:tcW w:w="5000" w:type="pct"/>
            <w:gridSpan w:val="2"/>
            <w:shd w:val="clear" w:color="auto" w:fill="auto"/>
          </w:tcPr>
          <w:p w:rsidRPr="00F83C7A" w:rsidR="005C4DE7" w:rsidRDefault="005C4DE7" w14:paraId="51568FF2" w14:textId="0B076187">
            <w:pPr>
              <w:spacing w:after="0" w:line="240" w:lineRule="auto"/>
              <w:jc w:val="center"/>
              <w:rPr>
                <w:rFonts w:ascii="Cambria" w:hAnsi="Cambria" w:cs="Arial"/>
                <w:bCs/>
              </w:rPr>
            </w:pPr>
            <w:r w:rsidRPr="00F83C7A">
              <w:rPr>
                <w:rFonts w:ascii="Cambria" w:hAnsi="Cambria" w:cs="Arial"/>
                <w:bCs/>
              </w:rPr>
              <w:t>Trainee</w:t>
            </w:r>
            <w:r w:rsidRPr="00F83C7A" w:rsidR="00275428">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Pr="00F83C7A" w:rsidR="00275428">
              <w:rPr>
                <w:rFonts w:ascii="Cambria" w:hAnsi="Cambria" w:cs="Arial"/>
                <w:bCs/>
              </w:rPr>
              <w:t xml:space="preserve">may result in the trainee being placed on a Progress </w:t>
            </w:r>
            <w:r w:rsidRPr="00F83C7A" w:rsidR="00723015">
              <w:rPr>
                <w:rFonts w:ascii="Cambria" w:hAnsi="Cambria" w:cs="Arial"/>
                <w:bCs/>
              </w:rPr>
              <w:t>Support</w:t>
            </w:r>
            <w:r w:rsidRPr="00F83C7A" w:rsidR="00275428">
              <w:rPr>
                <w:rFonts w:ascii="Cambria" w:hAnsi="Cambria" w:cs="Arial"/>
                <w:bCs/>
              </w:rPr>
              <w:t xml:space="preserve"> Plan.</w:t>
            </w:r>
          </w:p>
        </w:tc>
      </w:tr>
    </w:tbl>
    <w:p w:rsidR="005C4DE7" w:rsidRDefault="005C4DE7" w14:paraId="4BE1844F" w14:textId="77777777">
      <w:pPr>
        <w:spacing w:after="0"/>
      </w:pPr>
    </w:p>
    <w:sectPr w:rsidR="005C4DE7" w:rsidSect="008A67D8">
      <w:headerReference w:type="default" r:id="rId19"/>
      <w:footerReference w:type="default" r:id="rId20"/>
      <w:pgSz w:w="12240" w:h="15840" w:orient="portrait"/>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0325C" w:rsidP="00BB0205" w:rsidRDefault="00E0325C" w14:paraId="09C29708" w14:textId="77777777">
      <w:pPr>
        <w:spacing w:after="0" w:line="240" w:lineRule="auto"/>
      </w:pPr>
      <w:r>
        <w:separator/>
      </w:r>
    </w:p>
  </w:endnote>
  <w:endnote w:type="continuationSeparator" w:id="0">
    <w:p w:rsidR="00E0325C" w:rsidP="00BB0205" w:rsidRDefault="00E0325C" w14:paraId="7D9506FE" w14:textId="77777777">
      <w:pPr>
        <w:spacing w:after="0" w:line="240" w:lineRule="auto"/>
      </w:pPr>
      <w:r>
        <w:continuationSeparator/>
      </w:r>
    </w:p>
  </w:endnote>
  <w:endnote w:type="continuationNotice" w:id="1">
    <w:p w:rsidR="00E0325C" w:rsidRDefault="00E0325C" w14:paraId="1C57E2A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3120160"/>
      <w:docPartObj>
        <w:docPartGallery w:val="Page Numbers (Bottom of Page)"/>
        <w:docPartUnique/>
      </w:docPartObj>
    </w:sdtPr>
    <w:sdtEndPr>
      <w:rPr>
        <w:noProof/>
      </w:rPr>
    </w:sdtEndPr>
    <w:sdtContent>
      <w:p w:rsidR="009C79B8" w:rsidRDefault="009C79B8" w14:paraId="61FB0216" w14:textId="68E150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C79B8" w:rsidRDefault="009C79B8" w14:paraId="06A38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0325C" w:rsidP="00BB0205" w:rsidRDefault="00E0325C" w14:paraId="5ACFBBFF" w14:textId="77777777">
      <w:pPr>
        <w:spacing w:after="0" w:line="240" w:lineRule="auto"/>
      </w:pPr>
      <w:r>
        <w:separator/>
      </w:r>
    </w:p>
  </w:footnote>
  <w:footnote w:type="continuationSeparator" w:id="0">
    <w:p w:rsidR="00E0325C" w:rsidP="00BB0205" w:rsidRDefault="00E0325C" w14:paraId="401ADE28" w14:textId="77777777">
      <w:pPr>
        <w:spacing w:after="0" w:line="240" w:lineRule="auto"/>
      </w:pPr>
      <w:r>
        <w:continuationSeparator/>
      </w:r>
    </w:p>
  </w:footnote>
  <w:footnote w:type="continuationNotice" w:id="1">
    <w:p w:rsidR="00E0325C" w:rsidRDefault="00E0325C" w14:paraId="7090A84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BB0205" w:rsidR="00BB0205" w:rsidP="00BB0205" w:rsidRDefault="00BB0205" w14:paraId="608BA685" w14:textId="2EDF6E14">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B578F"/>
    <w:multiLevelType w:val="hybridMultilevel"/>
    <w:tmpl w:val="7E8065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1EA774"/>
    <w:multiLevelType w:val="hybridMultilevel"/>
    <w:tmpl w:val="E98A1178"/>
    <w:lvl w:ilvl="0" w:tplc="7CC6503C">
      <w:start w:val="1"/>
      <w:numFmt w:val="decimal"/>
      <w:lvlText w:val="%1."/>
      <w:lvlJc w:val="left"/>
      <w:pPr>
        <w:ind w:left="360" w:hanging="360"/>
      </w:pPr>
    </w:lvl>
    <w:lvl w:ilvl="1" w:tplc="961C4FEE">
      <w:start w:val="1"/>
      <w:numFmt w:val="lowerLetter"/>
      <w:lvlText w:val="%2."/>
      <w:lvlJc w:val="left"/>
      <w:pPr>
        <w:ind w:left="1080" w:hanging="360"/>
      </w:pPr>
    </w:lvl>
    <w:lvl w:ilvl="2" w:tplc="E6F86156">
      <w:start w:val="1"/>
      <w:numFmt w:val="lowerRoman"/>
      <w:lvlText w:val="%3."/>
      <w:lvlJc w:val="right"/>
      <w:pPr>
        <w:ind w:left="1800" w:hanging="180"/>
      </w:pPr>
    </w:lvl>
    <w:lvl w:ilvl="3" w:tplc="8048BF94">
      <w:start w:val="1"/>
      <w:numFmt w:val="decimal"/>
      <w:lvlText w:val="%4."/>
      <w:lvlJc w:val="left"/>
      <w:pPr>
        <w:ind w:left="2520" w:hanging="360"/>
      </w:pPr>
    </w:lvl>
    <w:lvl w:ilvl="4" w:tplc="1714A2E2">
      <w:start w:val="1"/>
      <w:numFmt w:val="lowerLetter"/>
      <w:lvlText w:val="%5."/>
      <w:lvlJc w:val="left"/>
      <w:pPr>
        <w:ind w:left="3240" w:hanging="360"/>
      </w:pPr>
    </w:lvl>
    <w:lvl w:ilvl="5" w:tplc="469C22B4">
      <w:start w:val="1"/>
      <w:numFmt w:val="lowerRoman"/>
      <w:lvlText w:val="%6."/>
      <w:lvlJc w:val="right"/>
      <w:pPr>
        <w:ind w:left="3960" w:hanging="180"/>
      </w:pPr>
    </w:lvl>
    <w:lvl w:ilvl="6" w:tplc="DC124EC8">
      <w:start w:val="1"/>
      <w:numFmt w:val="decimal"/>
      <w:lvlText w:val="%7."/>
      <w:lvlJc w:val="left"/>
      <w:pPr>
        <w:ind w:left="4680" w:hanging="360"/>
      </w:pPr>
    </w:lvl>
    <w:lvl w:ilvl="7" w:tplc="9F34F850">
      <w:start w:val="1"/>
      <w:numFmt w:val="lowerLetter"/>
      <w:lvlText w:val="%8."/>
      <w:lvlJc w:val="left"/>
      <w:pPr>
        <w:ind w:left="5400" w:hanging="360"/>
      </w:pPr>
    </w:lvl>
    <w:lvl w:ilvl="8" w:tplc="E01E59C4">
      <w:start w:val="1"/>
      <w:numFmt w:val="lowerRoman"/>
      <w:lvlText w:val="%9."/>
      <w:lvlJc w:val="right"/>
      <w:pPr>
        <w:ind w:left="612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99E1541"/>
    <w:multiLevelType w:val="multilevel"/>
    <w:tmpl w:val="10BAEE3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3FCE60FB"/>
    <w:multiLevelType w:val="hybridMultilevel"/>
    <w:tmpl w:val="221273D4"/>
    <w:lvl w:ilvl="0" w:tplc="EC14421A">
      <w:start w:val="1"/>
      <w:numFmt w:val="decimal"/>
      <w:lvlText w:val="%1."/>
      <w:lvlJc w:val="left"/>
      <w:pPr>
        <w:ind w:left="360" w:hanging="360"/>
      </w:pPr>
    </w:lvl>
    <w:lvl w:ilvl="1" w:tplc="307680DA">
      <w:start w:val="1"/>
      <w:numFmt w:val="lowerLetter"/>
      <w:lvlText w:val="%2."/>
      <w:lvlJc w:val="left"/>
      <w:pPr>
        <w:ind w:left="1080" w:hanging="360"/>
      </w:pPr>
    </w:lvl>
    <w:lvl w:ilvl="2" w:tplc="B3844FAA">
      <w:start w:val="1"/>
      <w:numFmt w:val="lowerRoman"/>
      <w:lvlText w:val="%3."/>
      <w:lvlJc w:val="right"/>
      <w:pPr>
        <w:ind w:left="1800" w:hanging="180"/>
      </w:pPr>
    </w:lvl>
    <w:lvl w:ilvl="3" w:tplc="A0FA0CFE">
      <w:start w:val="1"/>
      <w:numFmt w:val="decimal"/>
      <w:lvlText w:val="%4."/>
      <w:lvlJc w:val="left"/>
      <w:pPr>
        <w:ind w:left="2520" w:hanging="360"/>
      </w:pPr>
    </w:lvl>
    <w:lvl w:ilvl="4" w:tplc="DE6C5802">
      <w:start w:val="1"/>
      <w:numFmt w:val="lowerLetter"/>
      <w:lvlText w:val="%5."/>
      <w:lvlJc w:val="left"/>
      <w:pPr>
        <w:ind w:left="3240" w:hanging="360"/>
      </w:pPr>
    </w:lvl>
    <w:lvl w:ilvl="5" w:tplc="ABC64B58">
      <w:start w:val="1"/>
      <w:numFmt w:val="lowerRoman"/>
      <w:lvlText w:val="%6."/>
      <w:lvlJc w:val="right"/>
      <w:pPr>
        <w:ind w:left="3960" w:hanging="180"/>
      </w:pPr>
    </w:lvl>
    <w:lvl w:ilvl="6" w:tplc="F7F4DE3E">
      <w:start w:val="1"/>
      <w:numFmt w:val="decimal"/>
      <w:lvlText w:val="%7."/>
      <w:lvlJc w:val="left"/>
      <w:pPr>
        <w:ind w:left="4680" w:hanging="360"/>
      </w:pPr>
    </w:lvl>
    <w:lvl w:ilvl="7" w:tplc="A8DC715E">
      <w:start w:val="1"/>
      <w:numFmt w:val="lowerLetter"/>
      <w:lvlText w:val="%8."/>
      <w:lvlJc w:val="left"/>
      <w:pPr>
        <w:ind w:left="5400" w:hanging="360"/>
      </w:pPr>
    </w:lvl>
    <w:lvl w:ilvl="8" w:tplc="A112A5D4">
      <w:start w:val="1"/>
      <w:numFmt w:val="lowerRoman"/>
      <w:lvlText w:val="%9."/>
      <w:lvlJc w:val="right"/>
      <w:pPr>
        <w:ind w:left="6120" w:hanging="180"/>
      </w:pPr>
    </w:lvl>
  </w:abstractNum>
  <w:abstractNum w:abstractNumId="5" w15:restartNumberingAfterBreak="0">
    <w:nsid w:val="50292FF9"/>
    <w:multiLevelType w:val="hybridMultilevel"/>
    <w:tmpl w:val="E20ECA90"/>
    <w:lvl w:ilvl="0" w:tplc="7130DECA">
      <w:start w:val="1"/>
      <w:numFmt w:val="decimal"/>
      <w:lvlText w:val="%1."/>
      <w:lvlJc w:val="left"/>
      <w:pPr>
        <w:ind w:left="360" w:hanging="360"/>
      </w:pPr>
    </w:lvl>
    <w:lvl w:ilvl="1" w:tplc="974E2540">
      <w:start w:val="1"/>
      <w:numFmt w:val="lowerLetter"/>
      <w:lvlText w:val="%2."/>
      <w:lvlJc w:val="left"/>
      <w:pPr>
        <w:ind w:left="1080" w:hanging="360"/>
      </w:pPr>
    </w:lvl>
    <w:lvl w:ilvl="2" w:tplc="6EDEA6DA">
      <w:start w:val="1"/>
      <w:numFmt w:val="lowerRoman"/>
      <w:lvlText w:val="%3."/>
      <w:lvlJc w:val="right"/>
      <w:pPr>
        <w:ind w:left="1800" w:hanging="180"/>
      </w:pPr>
    </w:lvl>
    <w:lvl w:ilvl="3" w:tplc="82E65802">
      <w:start w:val="1"/>
      <w:numFmt w:val="decimal"/>
      <w:lvlText w:val="%4."/>
      <w:lvlJc w:val="left"/>
      <w:pPr>
        <w:ind w:left="2520" w:hanging="360"/>
      </w:pPr>
    </w:lvl>
    <w:lvl w:ilvl="4" w:tplc="CE064E8A">
      <w:start w:val="1"/>
      <w:numFmt w:val="lowerLetter"/>
      <w:lvlText w:val="%5."/>
      <w:lvlJc w:val="left"/>
      <w:pPr>
        <w:ind w:left="3240" w:hanging="360"/>
      </w:pPr>
    </w:lvl>
    <w:lvl w:ilvl="5" w:tplc="89E23C58">
      <w:start w:val="1"/>
      <w:numFmt w:val="lowerRoman"/>
      <w:lvlText w:val="%6."/>
      <w:lvlJc w:val="right"/>
      <w:pPr>
        <w:ind w:left="3960" w:hanging="180"/>
      </w:pPr>
    </w:lvl>
    <w:lvl w:ilvl="6" w:tplc="90D6EC42">
      <w:start w:val="1"/>
      <w:numFmt w:val="decimal"/>
      <w:lvlText w:val="%7."/>
      <w:lvlJc w:val="left"/>
      <w:pPr>
        <w:ind w:left="4680" w:hanging="360"/>
      </w:pPr>
    </w:lvl>
    <w:lvl w:ilvl="7" w:tplc="4A5AD75E">
      <w:start w:val="1"/>
      <w:numFmt w:val="lowerLetter"/>
      <w:lvlText w:val="%8."/>
      <w:lvlJc w:val="left"/>
      <w:pPr>
        <w:ind w:left="5400" w:hanging="360"/>
      </w:pPr>
    </w:lvl>
    <w:lvl w:ilvl="8" w:tplc="B41C4CFA">
      <w:start w:val="1"/>
      <w:numFmt w:val="lowerRoman"/>
      <w:lvlText w:val="%9."/>
      <w:lvlJc w:val="right"/>
      <w:pPr>
        <w:ind w:left="6120" w:hanging="180"/>
      </w:pPr>
    </w:lvl>
  </w:abstractNum>
  <w:abstractNum w:abstractNumId="6" w15:restartNumberingAfterBreak="0">
    <w:nsid w:val="63160FE2"/>
    <w:multiLevelType w:val="multilevel"/>
    <w:tmpl w:val="FF46D41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6D6C2204"/>
    <w:multiLevelType w:val="hybridMultilevel"/>
    <w:tmpl w:val="E300F8E8"/>
    <w:lvl w:ilvl="0" w:tplc="8C202DA8">
      <w:start w:val="1"/>
      <w:numFmt w:val="bullet"/>
      <w:lvlText w:val=""/>
      <w:lvlJc w:val="left"/>
      <w:pPr>
        <w:ind w:left="720" w:hanging="360"/>
      </w:pPr>
      <w:rPr>
        <w:rFonts w:hint="default" w:ascii="Symbol" w:hAnsi="Symbol"/>
      </w:rPr>
    </w:lvl>
    <w:lvl w:ilvl="1" w:tplc="EC7609E2">
      <w:start w:val="1"/>
      <w:numFmt w:val="bullet"/>
      <w:lvlText w:val="o"/>
      <w:lvlJc w:val="left"/>
      <w:pPr>
        <w:ind w:left="1440" w:hanging="360"/>
      </w:pPr>
      <w:rPr>
        <w:rFonts w:hint="default" w:ascii="Courier New" w:hAnsi="Courier New"/>
      </w:rPr>
    </w:lvl>
    <w:lvl w:ilvl="2" w:tplc="75A48A86">
      <w:start w:val="1"/>
      <w:numFmt w:val="bullet"/>
      <w:lvlText w:val=""/>
      <w:lvlJc w:val="left"/>
      <w:pPr>
        <w:ind w:left="2160" w:hanging="360"/>
      </w:pPr>
      <w:rPr>
        <w:rFonts w:hint="default" w:ascii="Wingdings" w:hAnsi="Wingdings"/>
      </w:rPr>
    </w:lvl>
    <w:lvl w:ilvl="3" w:tplc="D0CA50DC">
      <w:start w:val="1"/>
      <w:numFmt w:val="bullet"/>
      <w:lvlText w:val=""/>
      <w:lvlJc w:val="left"/>
      <w:pPr>
        <w:ind w:left="2880" w:hanging="360"/>
      </w:pPr>
      <w:rPr>
        <w:rFonts w:hint="default" w:ascii="Symbol" w:hAnsi="Symbol"/>
      </w:rPr>
    </w:lvl>
    <w:lvl w:ilvl="4" w:tplc="915861B4">
      <w:start w:val="1"/>
      <w:numFmt w:val="bullet"/>
      <w:lvlText w:val="o"/>
      <w:lvlJc w:val="left"/>
      <w:pPr>
        <w:ind w:left="3600" w:hanging="360"/>
      </w:pPr>
      <w:rPr>
        <w:rFonts w:hint="default" w:ascii="Courier New" w:hAnsi="Courier New"/>
      </w:rPr>
    </w:lvl>
    <w:lvl w:ilvl="5" w:tplc="D45A042C">
      <w:start w:val="1"/>
      <w:numFmt w:val="bullet"/>
      <w:lvlText w:val=""/>
      <w:lvlJc w:val="left"/>
      <w:pPr>
        <w:ind w:left="4320" w:hanging="360"/>
      </w:pPr>
      <w:rPr>
        <w:rFonts w:hint="default" w:ascii="Wingdings" w:hAnsi="Wingdings"/>
      </w:rPr>
    </w:lvl>
    <w:lvl w:ilvl="6" w:tplc="67B63E32">
      <w:start w:val="1"/>
      <w:numFmt w:val="bullet"/>
      <w:lvlText w:val=""/>
      <w:lvlJc w:val="left"/>
      <w:pPr>
        <w:ind w:left="5040" w:hanging="360"/>
      </w:pPr>
      <w:rPr>
        <w:rFonts w:hint="default" w:ascii="Symbol" w:hAnsi="Symbol"/>
      </w:rPr>
    </w:lvl>
    <w:lvl w:ilvl="7" w:tplc="87F65DAE">
      <w:start w:val="1"/>
      <w:numFmt w:val="bullet"/>
      <w:lvlText w:val="o"/>
      <w:lvlJc w:val="left"/>
      <w:pPr>
        <w:ind w:left="5760" w:hanging="360"/>
      </w:pPr>
      <w:rPr>
        <w:rFonts w:hint="default" w:ascii="Courier New" w:hAnsi="Courier New"/>
      </w:rPr>
    </w:lvl>
    <w:lvl w:ilvl="8" w:tplc="75769454">
      <w:start w:val="1"/>
      <w:numFmt w:val="bullet"/>
      <w:lvlText w:val=""/>
      <w:lvlJc w:val="left"/>
      <w:pPr>
        <w:ind w:left="6480" w:hanging="360"/>
      </w:pPr>
      <w:rPr>
        <w:rFonts w:hint="default" w:ascii="Wingdings" w:hAnsi="Wingdings"/>
      </w:rPr>
    </w:lvl>
  </w:abstractNum>
  <w:abstractNum w:abstractNumId="8" w15:restartNumberingAfterBreak="0">
    <w:nsid w:val="756D494D"/>
    <w:multiLevelType w:val="hybridMultilevel"/>
    <w:tmpl w:val="FFFFFFFF"/>
    <w:lvl w:ilvl="0" w:tplc="CC521AD8">
      <w:start w:val="1"/>
      <w:numFmt w:val="bullet"/>
      <w:lvlText w:val=""/>
      <w:lvlJc w:val="left"/>
      <w:pPr>
        <w:ind w:left="720" w:hanging="360"/>
      </w:pPr>
      <w:rPr>
        <w:rFonts w:hint="default" w:ascii="Symbol" w:hAnsi="Symbol"/>
      </w:rPr>
    </w:lvl>
    <w:lvl w:ilvl="1" w:tplc="50A0984C">
      <w:start w:val="1"/>
      <w:numFmt w:val="bullet"/>
      <w:lvlText w:val="o"/>
      <w:lvlJc w:val="left"/>
      <w:pPr>
        <w:ind w:left="1440" w:hanging="360"/>
      </w:pPr>
      <w:rPr>
        <w:rFonts w:hint="default" w:ascii="Courier New" w:hAnsi="Courier New"/>
      </w:rPr>
    </w:lvl>
    <w:lvl w:ilvl="2" w:tplc="05446C30">
      <w:start w:val="1"/>
      <w:numFmt w:val="bullet"/>
      <w:lvlText w:val=""/>
      <w:lvlJc w:val="left"/>
      <w:pPr>
        <w:ind w:left="2160" w:hanging="360"/>
      </w:pPr>
      <w:rPr>
        <w:rFonts w:hint="default" w:ascii="Wingdings" w:hAnsi="Wingdings"/>
      </w:rPr>
    </w:lvl>
    <w:lvl w:ilvl="3" w:tplc="F7422616">
      <w:start w:val="1"/>
      <w:numFmt w:val="bullet"/>
      <w:lvlText w:val=""/>
      <w:lvlJc w:val="left"/>
      <w:pPr>
        <w:ind w:left="2880" w:hanging="360"/>
      </w:pPr>
      <w:rPr>
        <w:rFonts w:hint="default" w:ascii="Symbol" w:hAnsi="Symbol"/>
      </w:rPr>
    </w:lvl>
    <w:lvl w:ilvl="4" w:tplc="6C1008E6">
      <w:start w:val="1"/>
      <w:numFmt w:val="bullet"/>
      <w:lvlText w:val="o"/>
      <w:lvlJc w:val="left"/>
      <w:pPr>
        <w:ind w:left="3600" w:hanging="360"/>
      </w:pPr>
      <w:rPr>
        <w:rFonts w:hint="default" w:ascii="Courier New" w:hAnsi="Courier New"/>
      </w:rPr>
    </w:lvl>
    <w:lvl w:ilvl="5" w:tplc="B7FE3282">
      <w:start w:val="1"/>
      <w:numFmt w:val="bullet"/>
      <w:lvlText w:val=""/>
      <w:lvlJc w:val="left"/>
      <w:pPr>
        <w:ind w:left="4320" w:hanging="360"/>
      </w:pPr>
      <w:rPr>
        <w:rFonts w:hint="default" w:ascii="Wingdings" w:hAnsi="Wingdings"/>
      </w:rPr>
    </w:lvl>
    <w:lvl w:ilvl="6" w:tplc="2D4AF326">
      <w:start w:val="1"/>
      <w:numFmt w:val="bullet"/>
      <w:lvlText w:val=""/>
      <w:lvlJc w:val="left"/>
      <w:pPr>
        <w:ind w:left="5040" w:hanging="360"/>
      </w:pPr>
      <w:rPr>
        <w:rFonts w:hint="default" w:ascii="Symbol" w:hAnsi="Symbol"/>
      </w:rPr>
    </w:lvl>
    <w:lvl w:ilvl="7" w:tplc="788E8306">
      <w:start w:val="1"/>
      <w:numFmt w:val="bullet"/>
      <w:lvlText w:val="o"/>
      <w:lvlJc w:val="left"/>
      <w:pPr>
        <w:ind w:left="5760" w:hanging="360"/>
      </w:pPr>
      <w:rPr>
        <w:rFonts w:hint="default" w:ascii="Courier New" w:hAnsi="Courier New"/>
      </w:rPr>
    </w:lvl>
    <w:lvl w:ilvl="8" w:tplc="2230ECC2">
      <w:start w:val="1"/>
      <w:numFmt w:val="bullet"/>
      <w:lvlText w:val=""/>
      <w:lvlJc w:val="left"/>
      <w:pPr>
        <w:ind w:left="6480" w:hanging="360"/>
      </w:pPr>
      <w:rPr>
        <w:rFonts w:hint="default" w:ascii="Wingdings" w:hAnsi="Wingdings"/>
      </w:rPr>
    </w:lvl>
  </w:abstractNum>
  <w:num w:numId="1" w16cid:durableId="1857109135">
    <w:abstractNumId w:val="8"/>
  </w:num>
  <w:num w:numId="2" w16cid:durableId="1167473910">
    <w:abstractNumId w:val="1"/>
  </w:num>
  <w:num w:numId="3" w16cid:durableId="1833905498">
    <w:abstractNumId w:val="5"/>
  </w:num>
  <w:num w:numId="4" w16cid:durableId="1581404605">
    <w:abstractNumId w:val="4"/>
  </w:num>
  <w:num w:numId="5" w16cid:durableId="1670982005">
    <w:abstractNumId w:val="6"/>
  </w:num>
  <w:num w:numId="6" w16cid:durableId="745959156">
    <w:abstractNumId w:val="3"/>
  </w:num>
  <w:num w:numId="7" w16cid:durableId="365060952">
    <w:abstractNumId w:val="2"/>
  </w:num>
  <w:num w:numId="8" w16cid:durableId="970749666">
    <w:abstractNumId w:val="0"/>
  </w:num>
  <w:num w:numId="9" w16cid:durableId="37501385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4A50"/>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C3F7D"/>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C744C"/>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2D54"/>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04FE"/>
    <w:rsid w:val="00663D4E"/>
    <w:rsid w:val="0068BC15"/>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0E07"/>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486"/>
    <w:rsid w:val="008A3736"/>
    <w:rsid w:val="008A6127"/>
    <w:rsid w:val="008A67D8"/>
    <w:rsid w:val="008B1D2B"/>
    <w:rsid w:val="008C3A69"/>
    <w:rsid w:val="008C5CA6"/>
    <w:rsid w:val="008C6ED4"/>
    <w:rsid w:val="008D261C"/>
    <w:rsid w:val="008D6C75"/>
    <w:rsid w:val="008E15AD"/>
    <w:rsid w:val="008E4B82"/>
    <w:rsid w:val="00904801"/>
    <w:rsid w:val="00923CC5"/>
    <w:rsid w:val="00943673"/>
    <w:rsid w:val="00945354"/>
    <w:rsid w:val="00945A5D"/>
    <w:rsid w:val="009461D9"/>
    <w:rsid w:val="009606AB"/>
    <w:rsid w:val="0096319B"/>
    <w:rsid w:val="00964720"/>
    <w:rsid w:val="00965CE6"/>
    <w:rsid w:val="00966A4C"/>
    <w:rsid w:val="00970EA0"/>
    <w:rsid w:val="0099709E"/>
    <w:rsid w:val="009B3121"/>
    <w:rsid w:val="009B6144"/>
    <w:rsid w:val="009B7396"/>
    <w:rsid w:val="009C79B8"/>
    <w:rsid w:val="009D30D2"/>
    <w:rsid w:val="009E201C"/>
    <w:rsid w:val="00A00F62"/>
    <w:rsid w:val="00A166D0"/>
    <w:rsid w:val="00A27B4C"/>
    <w:rsid w:val="00A36B06"/>
    <w:rsid w:val="00A461C0"/>
    <w:rsid w:val="00A5777A"/>
    <w:rsid w:val="00A61137"/>
    <w:rsid w:val="00A7227A"/>
    <w:rsid w:val="00A771B9"/>
    <w:rsid w:val="00A860B8"/>
    <w:rsid w:val="00A92CA0"/>
    <w:rsid w:val="00AA17CF"/>
    <w:rsid w:val="00AA3C08"/>
    <w:rsid w:val="00AB1862"/>
    <w:rsid w:val="00AC52AF"/>
    <w:rsid w:val="00AD1D6C"/>
    <w:rsid w:val="00AD2305"/>
    <w:rsid w:val="00AE0D6F"/>
    <w:rsid w:val="00AE47A3"/>
    <w:rsid w:val="00AE5D12"/>
    <w:rsid w:val="00B109B2"/>
    <w:rsid w:val="00B5000E"/>
    <w:rsid w:val="00B56665"/>
    <w:rsid w:val="00B56DF9"/>
    <w:rsid w:val="00B6249A"/>
    <w:rsid w:val="00B64B0A"/>
    <w:rsid w:val="00B71FAE"/>
    <w:rsid w:val="00B75F73"/>
    <w:rsid w:val="00B8188E"/>
    <w:rsid w:val="00BA06A2"/>
    <w:rsid w:val="00BA12BC"/>
    <w:rsid w:val="00BA2F70"/>
    <w:rsid w:val="00BA3E39"/>
    <w:rsid w:val="00BB0205"/>
    <w:rsid w:val="00BB25AA"/>
    <w:rsid w:val="00BC1982"/>
    <w:rsid w:val="00BC2D67"/>
    <w:rsid w:val="00BE47F7"/>
    <w:rsid w:val="00BF017F"/>
    <w:rsid w:val="00BF1357"/>
    <w:rsid w:val="00BF6FA3"/>
    <w:rsid w:val="00C00230"/>
    <w:rsid w:val="00C0560D"/>
    <w:rsid w:val="00C13C48"/>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645B"/>
    <w:rsid w:val="00D105DF"/>
    <w:rsid w:val="00D12C87"/>
    <w:rsid w:val="00D23399"/>
    <w:rsid w:val="00D26EEE"/>
    <w:rsid w:val="00D67B11"/>
    <w:rsid w:val="00D7386B"/>
    <w:rsid w:val="00D8211D"/>
    <w:rsid w:val="00D852D6"/>
    <w:rsid w:val="00D9275F"/>
    <w:rsid w:val="00D9612E"/>
    <w:rsid w:val="00DA4C7E"/>
    <w:rsid w:val="00DB4B64"/>
    <w:rsid w:val="00DD5A4F"/>
    <w:rsid w:val="00DF4BE6"/>
    <w:rsid w:val="00DF760B"/>
    <w:rsid w:val="00E0325C"/>
    <w:rsid w:val="00E13000"/>
    <w:rsid w:val="00E22452"/>
    <w:rsid w:val="00E25F07"/>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0790"/>
    <w:rsid w:val="00F07217"/>
    <w:rsid w:val="00F27212"/>
    <w:rsid w:val="00F45E23"/>
    <w:rsid w:val="00F47EC2"/>
    <w:rsid w:val="00F55928"/>
    <w:rsid w:val="00F5767B"/>
    <w:rsid w:val="00F61080"/>
    <w:rsid w:val="00F6789C"/>
    <w:rsid w:val="00F77DFE"/>
    <w:rsid w:val="00F82C86"/>
    <w:rsid w:val="00F83B94"/>
    <w:rsid w:val="00F83C7A"/>
    <w:rsid w:val="00F83EAA"/>
    <w:rsid w:val="00F91403"/>
    <w:rsid w:val="00FB38FA"/>
    <w:rsid w:val="00FB5206"/>
    <w:rsid w:val="00FC0E49"/>
    <w:rsid w:val="00FD57B4"/>
    <w:rsid w:val="00FD6C80"/>
    <w:rsid w:val="00FE47C3"/>
    <w:rsid w:val="00FE7B0A"/>
    <w:rsid w:val="00FF0E23"/>
    <w:rsid w:val="00FF1A1A"/>
    <w:rsid w:val="036F23E2"/>
    <w:rsid w:val="03AF950D"/>
    <w:rsid w:val="03BE8CBB"/>
    <w:rsid w:val="0576CBC1"/>
    <w:rsid w:val="090FEAB4"/>
    <w:rsid w:val="09D95EC7"/>
    <w:rsid w:val="0D7BA5B5"/>
    <w:rsid w:val="0DE35BD7"/>
    <w:rsid w:val="10BC13FF"/>
    <w:rsid w:val="11477072"/>
    <w:rsid w:val="12DC4E6B"/>
    <w:rsid w:val="1416C799"/>
    <w:rsid w:val="143F0D47"/>
    <w:rsid w:val="15969C45"/>
    <w:rsid w:val="159EB0FA"/>
    <w:rsid w:val="15E9C93B"/>
    <w:rsid w:val="166292EE"/>
    <w:rsid w:val="166F71F5"/>
    <w:rsid w:val="16E1CB0D"/>
    <w:rsid w:val="1793E323"/>
    <w:rsid w:val="18A76E0E"/>
    <w:rsid w:val="1A042A9C"/>
    <w:rsid w:val="1A32B154"/>
    <w:rsid w:val="1A74EAD6"/>
    <w:rsid w:val="1CD5E759"/>
    <w:rsid w:val="1E71B7BA"/>
    <w:rsid w:val="1F23CE9D"/>
    <w:rsid w:val="1F28A724"/>
    <w:rsid w:val="1FB2193F"/>
    <w:rsid w:val="206FEA98"/>
    <w:rsid w:val="209EDBDF"/>
    <w:rsid w:val="20A2760A"/>
    <w:rsid w:val="21413C5C"/>
    <w:rsid w:val="233B0508"/>
    <w:rsid w:val="23D746EA"/>
    <w:rsid w:val="23F5A376"/>
    <w:rsid w:val="2439EA69"/>
    <w:rsid w:val="246375F3"/>
    <w:rsid w:val="24E367F1"/>
    <w:rsid w:val="28D22E12"/>
    <w:rsid w:val="29A15B16"/>
    <w:rsid w:val="29AF16BC"/>
    <w:rsid w:val="2A55CB32"/>
    <w:rsid w:val="2A634077"/>
    <w:rsid w:val="2A86EC2E"/>
    <w:rsid w:val="2ADF5818"/>
    <w:rsid w:val="2B0E61AC"/>
    <w:rsid w:val="2DDFCE16"/>
    <w:rsid w:val="2E062BF9"/>
    <w:rsid w:val="2E467C1C"/>
    <w:rsid w:val="2F7CCAEB"/>
    <w:rsid w:val="2FD48748"/>
    <w:rsid w:val="309CE7CB"/>
    <w:rsid w:val="30B2B588"/>
    <w:rsid w:val="3239FECD"/>
    <w:rsid w:val="33459E2D"/>
    <w:rsid w:val="33AE2BE9"/>
    <w:rsid w:val="33C0431C"/>
    <w:rsid w:val="33E8903B"/>
    <w:rsid w:val="33F48DF1"/>
    <w:rsid w:val="3438B115"/>
    <w:rsid w:val="369519CA"/>
    <w:rsid w:val="36F1ADCA"/>
    <w:rsid w:val="38CD3C7D"/>
    <w:rsid w:val="3A5596E8"/>
    <w:rsid w:val="3AD6CA30"/>
    <w:rsid w:val="3AE03EBB"/>
    <w:rsid w:val="3B5523B5"/>
    <w:rsid w:val="3C1F2B52"/>
    <w:rsid w:val="3D82D736"/>
    <w:rsid w:val="3DBAFBB3"/>
    <w:rsid w:val="3ECC798F"/>
    <w:rsid w:val="4196E112"/>
    <w:rsid w:val="41D5C4E4"/>
    <w:rsid w:val="41E68C98"/>
    <w:rsid w:val="41F9C91E"/>
    <w:rsid w:val="46C39F09"/>
    <w:rsid w:val="4AB563E5"/>
    <w:rsid w:val="4ABE7ABD"/>
    <w:rsid w:val="4B035899"/>
    <w:rsid w:val="4B1F2F9E"/>
    <w:rsid w:val="4B3EED4F"/>
    <w:rsid w:val="4C98F2FE"/>
    <w:rsid w:val="4CE226CD"/>
    <w:rsid w:val="4DC2C89D"/>
    <w:rsid w:val="4DF5872E"/>
    <w:rsid w:val="4F5E98FE"/>
    <w:rsid w:val="4F6C4FDA"/>
    <w:rsid w:val="4F91578F"/>
    <w:rsid w:val="50FA695F"/>
    <w:rsid w:val="52B52399"/>
    <w:rsid w:val="53307626"/>
    <w:rsid w:val="53A8EDB0"/>
    <w:rsid w:val="559F2BE4"/>
    <w:rsid w:val="5601271A"/>
    <w:rsid w:val="57EAF739"/>
    <w:rsid w:val="58A63E69"/>
    <w:rsid w:val="5ABA93A9"/>
    <w:rsid w:val="5BBCC491"/>
    <w:rsid w:val="5BE71FDD"/>
    <w:rsid w:val="5D23A498"/>
    <w:rsid w:val="5D69A499"/>
    <w:rsid w:val="5DB56930"/>
    <w:rsid w:val="5DB892F7"/>
    <w:rsid w:val="627CABE2"/>
    <w:rsid w:val="634E5A21"/>
    <w:rsid w:val="63B9B6B1"/>
    <w:rsid w:val="69364519"/>
    <w:rsid w:val="6A00C7B3"/>
    <w:rsid w:val="6A06F9B8"/>
    <w:rsid w:val="6A1D6711"/>
    <w:rsid w:val="6A28F835"/>
    <w:rsid w:val="6BACE0F7"/>
    <w:rsid w:val="6C0A242C"/>
    <w:rsid w:val="6C53551C"/>
    <w:rsid w:val="6D1FC839"/>
    <w:rsid w:val="6EFC6958"/>
    <w:rsid w:val="6F9267C3"/>
    <w:rsid w:val="70AE5235"/>
    <w:rsid w:val="727798D7"/>
    <w:rsid w:val="751BA3A1"/>
    <w:rsid w:val="753EBBA0"/>
    <w:rsid w:val="76DCAA32"/>
    <w:rsid w:val="76E4ADDE"/>
    <w:rsid w:val="76E655BB"/>
    <w:rsid w:val="775543F0"/>
    <w:rsid w:val="77560902"/>
    <w:rsid w:val="776A9B9B"/>
    <w:rsid w:val="78787A93"/>
    <w:rsid w:val="78B66422"/>
    <w:rsid w:val="78C9A13E"/>
    <w:rsid w:val="78D32468"/>
    <w:rsid w:val="7A144AF4"/>
    <w:rsid w:val="7A25BCF4"/>
    <w:rsid w:val="7A470985"/>
    <w:rsid w:val="7AE4CBE7"/>
    <w:rsid w:val="7B783A88"/>
    <w:rsid w:val="7BCA06FE"/>
    <w:rsid w:val="7C18997B"/>
    <w:rsid w:val="7D1D3D18"/>
    <w:rsid w:val="7D650DFE"/>
    <w:rsid w:val="7E339620"/>
    <w:rsid w:val="7EE87A19"/>
    <w:rsid w:val="7FDFE0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8FB005E6-AED2-4777-BBE7-C0AD42E16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styleId="HeaderChar" w:customStyle="1">
    <w:name w:val="Header Char"/>
    <w:basedOn w:val="DefaultParagraphFont"/>
    <w:link w:val="Header"/>
    <w:uiPriority w:val="99"/>
    <w:rsid w:val="00BB0205"/>
    <w:rPr>
      <w:rFonts w:ascii="Calibri" w:hAnsi="Calibri" w:eastAsia="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0205"/>
    <w:rPr>
      <w:rFonts w:ascii="Calibri" w:hAnsi="Calibri" w:eastAsia="Calibri" w:cs="Calibri"/>
      <w:color w:val="000000"/>
    </w:rPr>
  </w:style>
  <w:style w:type="table" w:styleId="TableGrid0">
    <w:name w:val="Table Grid"/>
    <w:basedOn w:val="TableNormal"/>
    <w:uiPriority w:val="39"/>
    <w:rsid w:val="0020392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styleId="Default" w:customStyle="1">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styleId="xmsolistparagraph" w:customStyle="1">
    <w:name w:val="x_msolistparagraph"/>
    <w:basedOn w:val="Normal"/>
    <w:rsid w:val="00800444"/>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hAnsi="Arial" w:eastAsiaTheme="minorHAnsi"/>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styleId="NoSpacingChar" w:customStyle="1">
    <w:name w:val="No Spacing Char"/>
    <w:link w:val="NoSpacing"/>
    <w:uiPriority w:val="1"/>
    <w:rsid w:val="00FF0E23"/>
    <w:rPr>
      <w:rFonts w:ascii="Arial" w:hAnsi="Arial" w:eastAsiaTheme="minorHAnsi"/>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styleId="CommentTextChar" w:customStyle="1">
    <w:name w:val="Comment Text Char"/>
    <w:basedOn w:val="DefaultParagraphFont"/>
    <w:link w:val="CommentText"/>
    <w:uiPriority w:val="99"/>
    <w:rsid w:val="00554743"/>
    <w:rPr>
      <w:rFonts w:ascii="Arial" w:hAnsi="Arial" w:eastAsia="Calibri"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styleId="paragraph" w:customStyle="1">
    <w:name w:val="paragraph"/>
    <w:basedOn w:val="Normal"/>
    <w:rsid w:val="00BE47F7"/>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normaltextrun" w:customStyle="1">
    <w:name w:val="normaltextrun"/>
    <w:basedOn w:val="DefaultParagraphFont"/>
    <w:rsid w:val="00BE47F7"/>
  </w:style>
  <w:style w:type="character" w:styleId="eop" w:customStyle="1">
    <w:name w:val="eop"/>
    <w:basedOn w:val="DefaultParagraphFont"/>
    <w:rsid w:val="00BE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8216;https://jamesdholt.com/religious-education-musings/challenge-in-re/" TargetMode="External" Id="rId13" /><Relationship Type="http://schemas.openxmlformats.org/officeDocument/2006/relationships/image" Target="media/image7.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jpg" Id="rId12" /><Relationship Type="http://schemas.openxmlformats.org/officeDocument/2006/relationships/image" Target="media/image6.png"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ducationendowmentfoundation.org.uk/education-evidence/guidance-reports/teaching-assistants" TargetMode="External" Id="rId11" /><Relationship Type="http://schemas.openxmlformats.org/officeDocument/2006/relationships/styles" Target="styles.xml" Id="rId5" /><Relationship Type="http://schemas.openxmlformats.org/officeDocument/2006/relationships/image" Target="media/image4.jpg" Id="rId15"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 Type="http://schemas.openxmlformats.org/officeDocument/2006/relationships/theme" Target="theme/theme1.xml" Id="rId22" /><Relationship Type="http://schemas.openxmlformats.org/officeDocument/2006/relationships/glossaryDocument" Target="glossary/document.xml" Id="R7d08b6904f854fa3" /></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935ff23-fa18-4dec-95fc-e290e85cac1b}"/>
      </w:docPartPr>
      <w:docPartBody>
        <w:p w14:paraId="233B050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E622DF-3239-4AFD-99B0-5FCF655FCD5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Felix Obadan</dc:creator>
  <keywords/>
  <lastModifiedBy>Heather Marshall</lastModifiedBy>
  <revision>14</revision>
  <lastPrinted>2023-05-18T22:08:00.0000000Z</lastPrinted>
  <dcterms:created xsi:type="dcterms:W3CDTF">2024-02-06T21:12:00.0000000Z</dcterms:created>
  <dcterms:modified xsi:type="dcterms:W3CDTF">2024-02-06T13:27:17.6891106Z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