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340"/>
        <w:gridCol w:w="1359"/>
        <w:gridCol w:w="1239"/>
        <w:gridCol w:w="657"/>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3C33D78" w14:textId="77777777" w:rsidR="00DA3C8A"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p>
          <w:p w14:paraId="2F0115FB" w14:textId="0E105616" w:rsidR="00BB0205" w:rsidRPr="00523D39" w:rsidRDefault="00966A4C" w:rsidP="00F07217">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Pr="00523D39">
              <w:rPr>
                <w:rFonts w:ascii="Cambria" w:eastAsia="Georgia" w:hAnsi="Cambria" w:cs="Georgia"/>
                <w:b/>
                <w:color w:val="FFFFFF" w:themeColor="background1"/>
                <w:sz w:val="20"/>
                <w:szCs w:val="20"/>
              </w:rPr>
              <w:t>)</w:t>
            </w:r>
          </w:p>
          <w:p w14:paraId="2E8EA821" w14:textId="1C212DC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21093">
              <w:rPr>
                <w:rFonts w:ascii="Cambria" w:eastAsia="Georgia" w:hAnsi="Cambria" w:cs="Georgia"/>
                <w:b/>
                <w:color w:val="FFFFFF" w:themeColor="background1"/>
                <w:sz w:val="20"/>
                <w:szCs w:val="20"/>
              </w:rPr>
              <w:t>2</w:t>
            </w:r>
            <w:r w:rsidR="003D2D45">
              <w:rPr>
                <w:rFonts w:ascii="Cambria" w:eastAsia="Georgia" w:hAnsi="Cambria" w:cs="Georgia"/>
                <w:b/>
                <w:color w:val="FFFFFF" w:themeColor="background1"/>
                <w:sz w:val="20"/>
                <w:szCs w:val="20"/>
              </w:rPr>
              <w:t>5 or 26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3CFF38A"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5479C5">
              <w:rPr>
                <w:rFonts w:ascii="Cambria" w:hAnsi="Cambria"/>
                <w:b/>
                <w:bCs/>
                <w:sz w:val="20"/>
                <w:szCs w:val="20"/>
              </w:rPr>
              <w:t>PGCE SECONDARY SCIENCE (11-16 with QTS)</w:t>
            </w:r>
          </w:p>
          <w:p w14:paraId="4CD5B4A7" w14:textId="77777777" w:rsidR="005479C5" w:rsidRPr="00523D39" w:rsidRDefault="005479C5">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3D2D45">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3D2D45">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3F2FC113" w:rsidR="004009A7" w:rsidRPr="00523D39" w:rsidRDefault="004009A7">
            <w:pPr>
              <w:jc w:val="both"/>
              <w:rPr>
                <w:rFonts w:ascii="Cambria" w:hAnsi="Cambria"/>
                <w:b/>
                <w:bCs/>
                <w:sz w:val="20"/>
                <w:szCs w:val="20"/>
              </w:rPr>
            </w:pPr>
            <w:r w:rsidRPr="00523D39">
              <w:rPr>
                <w:rFonts w:ascii="Cambria" w:hAnsi="Cambria"/>
                <w:b/>
                <w:bCs/>
                <w:sz w:val="20"/>
                <w:szCs w:val="20"/>
              </w:rPr>
              <w:t>Professional</w:t>
            </w:r>
            <w:r w:rsidR="003D2D45">
              <w:rPr>
                <w:rFonts w:ascii="Cambria" w:hAnsi="Cambria"/>
                <w:b/>
                <w:bCs/>
                <w:sz w:val="20"/>
                <w:szCs w:val="20"/>
              </w:rPr>
              <w:t xml:space="preserve"> </w:t>
            </w:r>
            <w:r w:rsidRPr="00523D39">
              <w:rPr>
                <w:rFonts w:ascii="Cambria" w:hAnsi="Cambria"/>
                <w:b/>
                <w:bCs/>
                <w:sz w:val="20"/>
                <w:szCs w:val="20"/>
              </w:rPr>
              <w:t>Practice phase</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75E41A47" w:rsidR="004009A7" w:rsidRPr="00523D39" w:rsidRDefault="006B0AB6">
            <w:pPr>
              <w:jc w:val="both"/>
              <w:rPr>
                <w:rFonts w:ascii="Cambria" w:hAnsi="Cambria"/>
                <w:b/>
                <w:bCs/>
                <w:sz w:val="20"/>
                <w:szCs w:val="20"/>
              </w:rPr>
            </w:pPr>
            <w:r>
              <w:rPr>
                <w:rFonts w:ascii="Cambria" w:hAnsi="Cambria"/>
                <w:b/>
                <w:bCs/>
                <w:sz w:val="20"/>
                <w:szCs w:val="20"/>
              </w:rPr>
              <w:t>Developmental Placement</w:t>
            </w:r>
          </w:p>
        </w:tc>
      </w:tr>
      <w:tr w:rsidR="004009A7" w:rsidRPr="00F07217" w14:paraId="4FBA03EC" w14:textId="77777777" w:rsidTr="003D2D45">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0B8011EA" w:rsidR="004009A7" w:rsidRPr="00523D39" w:rsidRDefault="006B0AB6">
            <w:pPr>
              <w:jc w:val="both"/>
              <w:rPr>
                <w:rFonts w:ascii="Cambria" w:hAnsi="Cambria"/>
                <w:b/>
                <w:bCs/>
                <w:sz w:val="20"/>
                <w:szCs w:val="20"/>
              </w:rPr>
            </w:pPr>
            <w:r>
              <w:rPr>
                <w:rFonts w:ascii="Cambria" w:hAnsi="Cambria"/>
                <w:b/>
                <w:bCs/>
                <w:sz w:val="20"/>
                <w:szCs w:val="20"/>
              </w:rPr>
              <w:t>Ben Porter</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tcPr>
          <w:p w14:paraId="1F5613F1" w14:textId="77777777" w:rsidR="004009A7" w:rsidRDefault="004009A7">
            <w:pPr>
              <w:jc w:val="both"/>
              <w:rPr>
                <w:rFonts w:ascii="Cambria" w:hAnsi="Cambria"/>
                <w:b/>
                <w:bCs/>
                <w:sz w:val="20"/>
                <w:szCs w:val="20"/>
              </w:rPr>
            </w:pPr>
          </w:p>
          <w:p w14:paraId="4323CE9C" w14:textId="006C6DE4" w:rsidR="003D2D45" w:rsidRPr="00523D39" w:rsidRDefault="003D2D45">
            <w:pPr>
              <w:jc w:val="both"/>
              <w:rPr>
                <w:rFonts w:ascii="Cambria" w:hAnsi="Cambria"/>
                <w:b/>
                <w:bCs/>
                <w:sz w:val="20"/>
                <w:szCs w:val="20"/>
              </w:rPr>
            </w:pPr>
          </w:p>
        </w:tc>
      </w:tr>
      <w:tr w:rsidR="004009A7" w:rsidRPr="00F07217" w14:paraId="4FA3BD19" w14:textId="77777777" w:rsidTr="003D2D45">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5094C9B3" w:rsidR="004009A7" w:rsidRPr="00523D39" w:rsidRDefault="005479C5">
            <w:pPr>
              <w:jc w:val="both"/>
              <w:rPr>
                <w:rFonts w:ascii="Cambria" w:hAnsi="Cambria"/>
                <w:b/>
                <w:bCs/>
                <w:sz w:val="20"/>
                <w:szCs w:val="20"/>
              </w:rPr>
            </w:pPr>
            <w:r>
              <w:rPr>
                <w:rFonts w:ascii="Cambria" w:hAnsi="Cambria"/>
                <w:b/>
                <w:bCs/>
                <w:sz w:val="20"/>
                <w:szCs w:val="20"/>
              </w:rPr>
              <w:t xml:space="preserve">PGCE SECONDARY </w:t>
            </w:r>
            <w:r w:rsidR="009A5B5A">
              <w:rPr>
                <w:rFonts w:ascii="Cambria" w:hAnsi="Cambria"/>
                <w:b/>
                <w:bCs/>
                <w:sz w:val="20"/>
                <w:szCs w:val="20"/>
              </w:rPr>
              <w:t>SCIENCE (11-16)</w:t>
            </w:r>
          </w:p>
        </w:tc>
        <w:tc>
          <w:tcPr>
            <w:tcW w:w="2616"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tcPr>
          <w:p w14:paraId="2799F792" w14:textId="63003716" w:rsidR="004009A7" w:rsidRDefault="003D2D45">
            <w:pPr>
              <w:jc w:val="both"/>
              <w:rPr>
                <w:rFonts w:ascii="Cambria" w:hAnsi="Cambria"/>
                <w:b/>
                <w:bCs/>
                <w:sz w:val="20"/>
                <w:szCs w:val="20"/>
              </w:rPr>
            </w:pPr>
            <w:r>
              <w:rPr>
                <w:rFonts w:ascii="Cambria" w:hAnsi="Cambria"/>
                <w:b/>
                <w:bCs/>
                <w:sz w:val="20"/>
                <w:szCs w:val="20"/>
              </w:rPr>
              <w:t>*12</w:t>
            </w:r>
            <w:r w:rsidRPr="003D2D45">
              <w:rPr>
                <w:rFonts w:ascii="Cambria" w:hAnsi="Cambria"/>
                <w:b/>
                <w:bCs/>
                <w:sz w:val="20"/>
                <w:szCs w:val="20"/>
                <w:vertAlign w:val="superscript"/>
              </w:rPr>
              <w:t>TH</w:t>
            </w:r>
            <w:r>
              <w:rPr>
                <w:rFonts w:ascii="Cambria" w:hAnsi="Cambria"/>
                <w:b/>
                <w:bCs/>
                <w:sz w:val="20"/>
                <w:szCs w:val="20"/>
              </w:rPr>
              <w:t xml:space="preserve"> </w:t>
            </w:r>
            <w:r w:rsidR="009E4201">
              <w:rPr>
                <w:rFonts w:ascii="Cambria" w:hAnsi="Cambria"/>
                <w:b/>
                <w:bCs/>
                <w:sz w:val="20"/>
                <w:szCs w:val="20"/>
              </w:rPr>
              <w:t>FEBRUARY</w:t>
            </w:r>
            <w:r w:rsidR="006B0AB6">
              <w:rPr>
                <w:rFonts w:ascii="Cambria" w:hAnsi="Cambria"/>
                <w:b/>
                <w:bCs/>
                <w:sz w:val="20"/>
                <w:szCs w:val="20"/>
              </w:rPr>
              <w:t xml:space="preserve"> 2024</w:t>
            </w:r>
            <w:r>
              <w:rPr>
                <w:rFonts w:ascii="Cambria" w:hAnsi="Cambria"/>
                <w:b/>
                <w:bCs/>
                <w:sz w:val="20"/>
                <w:szCs w:val="20"/>
              </w:rPr>
              <w:t xml:space="preserve"> (week 25)</w:t>
            </w:r>
          </w:p>
          <w:p w14:paraId="62FC86D0" w14:textId="77777777" w:rsidR="003D2D45" w:rsidRDefault="003D2D45" w:rsidP="003D2D45">
            <w:pPr>
              <w:jc w:val="center"/>
              <w:rPr>
                <w:rFonts w:ascii="Cambria" w:hAnsi="Cambria"/>
                <w:b/>
                <w:bCs/>
                <w:sz w:val="20"/>
                <w:szCs w:val="20"/>
              </w:rPr>
            </w:pPr>
            <w:r>
              <w:rPr>
                <w:rFonts w:ascii="Cambria" w:hAnsi="Cambria"/>
                <w:b/>
                <w:bCs/>
                <w:sz w:val="20"/>
                <w:szCs w:val="20"/>
              </w:rPr>
              <w:t xml:space="preserve">OR </w:t>
            </w:r>
          </w:p>
          <w:p w14:paraId="0B030D53" w14:textId="37571874" w:rsidR="003D2D45" w:rsidRDefault="003D2D45" w:rsidP="003D2D45">
            <w:pPr>
              <w:jc w:val="both"/>
              <w:rPr>
                <w:rFonts w:ascii="Cambria" w:hAnsi="Cambria"/>
                <w:b/>
                <w:bCs/>
                <w:sz w:val="20"/>
                <w:szCs w:val="20"/>
              </w:rPr>
            </w:pPr>
            <w:r>
              <w:rPr>
                <w:rFonts w:ascii="Cambria" w:hAnsi="Cambria"/>
                <w:b/>
                <w:bCs/>
                <w:sz w:val="20"/>
                <w:szCs w:val="20"/>
              </w:rPr>
              <w:t>*19</w:t>
            </w:r>
            <w:r w:rsidRPr="003D2D45">
              <w:rPr>
                <w:rFonts w:ascii="Cambria" w:hAnsi="Cambria"/>
                <w:b/>
                <w:bCs/>
                <w:sz w:val="20"/>
                <w:szCs w:val="20"/>
                <w:vertAlign w:val="superscript"/>
              </w:rPr>
              <w:t>TH</w:t>
            </w:r>
            <w:r>
              <w:rPr>
                <w:rFonts w:ascii="Cambria" w:hAnsi="Cambria"/>
                <w:b/>
                <w:bCs/>
                <w:sz w:val="20"/>
                <w:szCs w:val="20"/>
              </w:rPr>
              <w:t xml:space="preserve"> FEBRUARY 2024(week 26)</w:t>
            </w:r>
          </w:p>
          <w:p w14:paraId="00EF9FDD" w14:textId="77777777" w:rsidR="003D2D45" w:rsidRDefault="003D2D45" w:rsidP="003D2D45">
            <w:pPr>
              <w:jc w:val="both"/>
              <w:rPr>
                <w:rFonts w:ascii="Cambria" w:hAnsi="Cambria"/>
                <w:b/>
                <w:bCs/>
                <w:sz w:val="20"/>
                <w:szCs w:val="20"/>
              </w:rPr>
            </w:pPr>
          </w:p>
          <w:p w14:paraId="2E3558FD" w14:textId="49C93DF3" w:rsidR="003D2D45" w:rsidRPr="00523D39" w:rsidRDefault="003D2D45" w:rsidP="003D2D45">
            <w:pPr>
              <w:jc w:val="both"/>
              <w:rPr>
                <w:rFonts w:ascii="Cambria" w:hAnsi="Cambria"/>
                <w:b/>
                <w:bCs/>
                <w:sz w:val="20"/>
                <w:szCs w:val="20"/>
              </w:rPr>
            </w:pPr>
            <w:r>
              <w:rPr>
                <w:rFonts w:ascii="Cambria" w:hAnsi="Cambria"/>
                <w:b/>
                <w:bCs/>
                <w:sz w:val="20"/>
                <w:szCs w:val="20"/>
              </w:rPr>
              <w:t>Depends on half term week</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686B958"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98156C9"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7230D6A"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6C66E88"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3A8C0B3"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5BF58BE3"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0682BEA"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7697FF5"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C0F63B0"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15701A14" w:rsidR="006B0AB6" w:rsidRPr="00523D39" w:rsidRDefault="006B0AB6"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B84027F" w14:textId="468BEEE6" w:rsidR="00777225" w:rsidRPr="00777225" w:rsidRDefault="00F45E23" w:rsidP="00777225">
            <w:pPr>
              <w:pStyle w:val="NormalWeb"/>
              <w:rPr>
                <w:rFonts w:ascii="Cambria" w:hAnsi="Cambria" w:cstheme="minorHAnsi"/>
                <w:b/>
                <w:bCs/>
                <w:sz w:val="20"/>
                <w:szCs w:val="20"/>
              </w:rPr>
            </w:pPr>
            <w:r w:rsidRPr="00523D39">
              <w:rPr>
                <w:rFonts w:ascii="Cambria" w:hAnsi="Cambria" w:cstheme="minorHAnsi"/>
                <w:b/>
                <w:bCs/>
                <w:sz w:val="20"/>
                <w:szCs w:val="20"/>
              </w:rPr>
              <w:t>Summary</w:t>
            </w:r>
            <w:r w:rsidR="00157999">
              <w:rPr>
                <w:rFonts w:ascii="Cambria" w:hAnsi="Cambria" w:cstheme="minorHAnsi"/>
                <w:b/>
                <w:bCs/>
                <w:sz w:val="20"/>
                <w:szCs w:val="20"/>
              </w:rPr>
              <w:t xml:space="preserve">: </w:t>
            </w:r>
            <w:r w:rsidR="00777225" w:rsidRPr="00777225">
              <w:rPr>
                <w:rFonts w:ascii="Cambria" w:hAnsi="Cambria" w:cstheme="minorHAnsi"/>
                <w:sz w:val="20"/>
                <w:szCs w:val="20"/>
              </w:rPr>
              <w:t xml:space="preserve">This paper discusses the need for schools to rethink the role of Teaching Assistants (TAs) and improve their utilisation to enhance student learning. Currently, TAs are often used informally as instructional resources for struggling students, which can lead to their isolation from the regular classroom setting. The document emphasizes the following key recommendations:  </w:t>
            </w:r>
          </w:p>
          <w:p w14:paraId="53B0286D" w14:textId="635E22CF" w:rsidR="00777225" w:rsidRDefault="00777225" w:rsidP="00777225">
            <w:pPr>
              <w:pStyle w:val="NormalWeb"/>
              <w:numPr>
                <w:ilvl w:val="0"/>
                <w:numId w:val="9"/>
              </w:numPr>
              <w:rPr>
                <w:rFonts w:ascii="Cambria" w:hAnsi="Cambria" w:cstheme="minorHAnsi"/>
                <w:sz w:val="20"/>
                <w:szCs w:val="20"/>
              </w:rPr>
            </w:pPr>
            <w:r w:rsidRPr="00777225">
              <w:rPr>
                <w:rFonts w:ascii="Cambria" w:hAnsi="Cambria" w:cstheme="minorHAnsi"/>
                <w:sz w:val="20"/>
                <w:szCs w:val="20"/>
              </w:rPr>
              <w:t xml:space="preserve">TAs should not replace teachers but rather complement their work by focusing on the needs of all students through high-quality classroom teaching. This requires a shift away from assigning TAs to specific students for extended periods.  </w:t>
            </w:r>
          </w:p>
          <w:p w14:paraId="7FA8935A" w14:textId="6F9F7749" w:rsidR="00777225" w:rsidRPr="00777225" w:rsidRDefault="00777225" w:rsidP="00777225">
            <w:pPr>
              <w:pStyle w:val="NormalWeb"/>
              <w:numPr>
                <w:ilvl w:val="0"/>
                <w:numId w:val="9"/>
              </w:numPr>
              <w:rPr>
                <w:rFonts w:ascii="Cambria" w:hAnsi="Cambria" w:cstheme="minorHAnsi"/>
                <w:sz w:val="20"/>
                <w:szCs w:val="20"/>
              </w:rPr>
            </w:pPr>
            <w:r w:rsidRPr="00777225">
              <w:rPr>
                <w:rFonts w:ascii="Cambria" w:hAnsi="Cambria" w:cstheme="minorHAnsi"/>
                <w:sz w:val="20"/>
                <w:szCs w:val="20"/>
              </w:rPr>
              <w:t xml:space="preserve">TAs should help students develop independent learning skills and prioritize tasks that encourage ownership and autonomy, intervening only when necessary.  </w:t>
            </w:r>
          </w:p>
          <w:p w14:paraId="0129D2D1" w14:textId="6006BBB3" w:rsidR="00777225" w:rsidRPr="00777225" w:rsidRDefault="00777225" w:rsidP="00777225">
            <w:pPr>
              <w:pStyle w:val="NormalWeb"/>
              <w:numPr>
                <w:ilvl w:val="0"/>
                <w:numId w:val="9"/>
              </w:numPr>
              <w:rPr>
                <w:rFonts w:ascii="Cambria" w:hAnsi="Cambria" w:cstheme="minorHAnsi"/>
                <w:sz w:val="20"/>
                <w:szCs w:val="20"/>
              </w:rPr>
            </w:pPr>
            <w:r w:rsidRPr="00777225">
              <w:rPr>
                <w:rFonts w:ascii="Cambria" w:hAnsi="Cambria" w:cstheme="minorHAnsi"/>
                <w:sz w:val="20"/>
                <w:szCs w:val="20"/>
              </w:rPr>
              <w:t xml:space="preserve">Schools should provide sufficient time for TA training and collaboration between teachers and TAs for lesson preparation and feedback.  </w:t>
            </w:r>
          </w:p>
          <w:p w14:paraId="3C895DCA" w14:textId="3F7FD96C" w:rsidR="00777225" w:rsidRPr="00777225" w:rsidRDefault="00777225" w:rsidP="00777225">
            <w:pPr>
              <w:pStyle w:val="NormalWeb"/>
              <w:numPr>
                <w:ilvl w:val="0"/>
                <w:numId w:val="9"/>
              </w:numPr>
              <w:rPr>
                <w:rFonts w:ascii="Cambria" w:hAnsi="Cambria" w:cstheme="minorHAnsi"/>
                <w:sz w:val="20"/>
                <w:szCs w:val="20"/>
              </w:rPr>
            </w:pPr>
            <w:r w:rsidRPr="00777225">
              <w:rPr>
                <w:rFonts w:ascii="Cambria" w:hAnsi="Cambria" w:cstheme="minorHAnsi"/>
                <w:sz w:val="20"/>
                <w:szCs w:val="20"/>
              </w:rPr>
              <w:t xml:space="preserve">When TAs deliver targeted interventions in one-to-one or small group settings, they can have a positive impact on student attainment if the interventions are structured and supported by high-quality training.  </w:t>
            </w:r>
          </w:p>
          <w:p w14:paraId="7CDFDB42" w14:textId="6A294954" w:rsidR="00777225" w:rsidRPr="00777225" w:rsidRDefault="00777225" w:rsidP="00777225">
            <w:pPr>
              <w:pStyle w:val="NormalWeb"/>
              <w:numPr>
                <w:ilvl w:val="0"/>
                <w:numId w:val="9"/>
              </w:numPr>
              <w:rPr>
                <w:rFonts w:ascii="Cambria" w:hAnsi="Cambria" w:cstheme="minorHAnsi"/>
                <w:sz w:val="20"/>
                <w:szCs w:val="20"/>
              </w:rPr>
            </w:pPr>
            <w:r w:rsidRPr="00777225">
              <w:rPr>
                <w:rFonts w:ascii="Cambria" w:hAnsi="Cambria" w:cstheme="minorHAnsi"/>
                <w:sz w:val="20"/>
                <w:szCs w:val="20"/>
              </w:rPr>
              <w:t xml:space="preserve">Schools should adopt evidence-based interventions for TAs in small groups and one-to-one instruction, following common elements of effective interventions such as brief, regular sessions, extensive TA training, structured resources, and assessments. </w:t>
            </w:r>
          </w:p>
          <w:p w14:paraId="32EB6638" w14:textId="0BDEF554" w:rsidR="00777225" w:rsidRPr="00777225" w:rsidRDefault="00777225" w:rsidP="00777225">
            <w:pPr>
              <w:pStyle w:val="NormalWeb"/>
              <w:numPr>
                <w:ilvl w:val="0"/>
                <w:numId w:val="9"/>
              </w:numPr>
              <w:rPr>
                <w:rFonts w:ascii="Cambria" w:hAnsi="Cambria" w:cstheme="minorHAnsi"/>
                <w:sz w:val="20"/>
                <w:szCs w:val="20"/>
              </w:rPr>
            </w:pPr>
            <w:r w:rsidRPr="00777225">
              <w:rPr>
                <w:rFonts w:ascii="Cambria" w:hAnsi="Cambria" w:cstheme="minorHAnsi"/>
                <w:sz w:val="20"/>
                <w:szCs w:val="20"/>
              </w:rPr>
              <w:t xml:space="preserve">There should be explicit connections between everyday classroom teaching and structured interventions to ensure continuity and consistency in learning experiences for students.  </w:t>
            </w:r>
          </w:p>
          <w:p w14:paraId="505671FA" w14:textId="6EFC235A" w:rsidR="00DA3C8A" w:rsidRPr="00777225" w:rsidRDefault="00777225" w:rsidP="00777225">
            <w:pPr>
              <w:pStyle w:val="NormalWeb"/>
              <w:numPr>
                <w:ilvl w:val="0"/>
                <w:numId w:val="9"/>
              </w:numPr>
            </w:pPr>
            <w:r w:rsidRPr="00777225">
              <w:rPr>
                <w:rFonts w:ascii="Cambria" w:hAnsi="Cambria" w:cstheme="minorHAnsi"/>
                <w:sz w:val="20"/>
                <w:szCs w:val="20"/>
              </w:rPr>
              <w:t>Pupils should understand the links between classroom learning and interventions, as it cannot be assumed that they will naturally make these connections on their own.</w:t>
            </w:r>
          </w:p>
          <w:p w14:paraId="4E4B99BB" w14:textId="54460A43" w:rsidR="00B21622" w:rsidRPr="00B21622" w:rsidRDefault="00F45E23" w:rsidP="00B21622">
            <w:pPr>
              <w:pStyle w:val="NormalWeb"/>
              <w:rPr>
                <w:rFonts w:ascii="Calibri" w:eastAsia="Calibri" w:hAnsi="Calibri" w:cs="Calibri"/>
                <w:color w:val="000000"/>
              </w:rPr>
            </w:pPr>
            <w:r w:rsidRPr="00523D39">
              <w:rPr>
                <w:rFonts w:ascii="Cambria" w:hAnsi="Cambria" w:cstheme="minorHAnsi"/>
                <w:b/>
                <w:bCs/>
                <w:sz w:val="20"/>
                <w:szCs w:val="20"/>
              </w:rPr>
              <w:t>Limitations:</w:t>
            </w:r>
            <w:r w:rsidR="00157999">
              <w:rPr>
                <w:rFonts w:ascii="Cambria" w:hAnsi="Cambria" w:cstheme="minorHAnsi"/>
                <w:b/>
                <w:bCs/>
                <w:sz w:val="20"/>
                <w:szCs w:val="20"/>
              </w:rPr>
              <w:t xml:space="preserve"> </w:t>
            </w:r>
            <w:r w:rsidR="00777225" w:rsidRPr="00777225">
              <w:rPr>
                <w:rFonts w:ascii="Cambria" w:hAnsi="Cambria" w:cstheme="minorHAnsi"/>
                <w:sz w:val="20"/>
                <w:szCs w:val="20"/>
              </w:rPr>
              <w:t>The research limitations, including limited evidence for structured interventions, potential lack of generalisability, and focus on short-term effects, highlight the importance of tailoring the document's recommendations to individual school contexts and student needs</w:t>
            </w:r>
          </w:p>
          <w:p w14:paraId="5EDDB505" w14:textId="3B83710C" w:rsidR="00E02523" w:rsidRPr="00B21622" w:rsidRDefault="00E02523" w:rsidP="00B21622">
            <w:pPr>
              <w:jc w:val="both"/>
              <w:rPr>
                <w:rFonts w:ascii="Cambria" w:hAnsi="Cambria" w:cstheme="minorHAnsi"/>
                <w:b/>
                <w:bCs/>
                <w:sz w:val="20"/>
                <w:szCs w:val="20"/>
              </w:rPr>
            </w:pPr>
          </w:p>
          <w:p w14:paraId="6071F449" w14:textId="3AC48EE0" w:rsidR="00B21622" w:rsidRPr="00E02523" w:rsidRDefault="00F45E23" w:rsidP="003D2D45">
            <w:pPr>
              <w:spacing w:after="160" w:line="259" w:lineRule="auto"/>
              <w:rPr>
                <w:color w:val="0000FF"/>
                <w:sz w:val="20"/>
                <w:szCs w:val="20"/>
              </w:rPr>
            </w:pPr>
            <w:r w:rsidRPr="00523D39">
              <w:rPr>
                <w:rFonts w:ascii="Cambria" w:hAnsi="Cambria" w:cstheme="minorHAnsi"/>
                <w:b/>
                <w:bCs/>
                <w:sz w:val="20"/>
                <w:szCs w:val="20"/>
              </w:rPr>
              <w:t>Reference</w:t>
            </w:r>
            <w:r w:rsidR="00157999">
              <w:rPr>
                <w:rFonts w:ascii="Cambria" w:hAnsi="Cambria" w:cstheme="minorHAnsi"/>
                <w:b/>
                <w:bCs/>
                <w:sz w:val="20"/>
                <w:szCs w:val="20"/>
              </w:rPr>
              <w:t>:</w:t>
            </w:r>
            <w:r w:rsidR="00DA3C8A">
              <w:rPr>
                <w:rFonts w:ascii="Cambria" w:hAnsi="Cambria" w:cstheme="minorHAnsi"/>
                <w:b/>
                <w:bCs/>
                <w:sz w:val="20"/>
                <w:szCs w:val="20"/>
              </w:rPr>
              <w:t xml:space="preserve"> </w:t>
            </w:r>
            <w:r w:rsidR="00157999">
              <w:rPr>
                <w:rFonts w:ascii="Cambria" w:hAnsi="Cambria" w:cstheme="minorHAnsi"/>
                <w:b/>
                <w:bCs/>
                <w:sz w:val="20"/>
                <w:szCs w:val="20"/>
              </w:rPr>
              <w:t xml:space="preserve"> </w:t>
            </w:r>
            <w:r w:rsidR="00777225" w:rsidRPr="00777225">
              <w:rPr>
                <w:rFonts w:ascii="Cambria" w:hAnsi="Cambria" w:cs="Segoe UI"/>
                <w:sz w:val="24"/>
                <w:szCs w:val="24"/>
              </w:rPr>
              <w:t xml:space="preserve">Making Best Use of Teaching Assistants - Education Endowment Foundation </w:t>
            </w:r>
            <w:hyperlink r:id="rId11" w:tgtFrame="_blank" w:history="1">
              <w:r w:rsidR="00777225" w:rsidRPr="00777225">
                <w:rPr>
                  <w:rFonts w:ascii="Cambria" w:hAnsi="Cambria" w:cs="Segoe UI"/>
                  <w:color w:val="0563C1"/>
                  <w:sz w:val="24"/>
                  <w:szCs w:val="24"/>
                  <w:u w:val="single"/>
                </w:rPr>
                <w:t>https://educationendowmentfoundation.org.uk/education-evidence/guidance-reports/teaching-assistants</w:t>
              </w:r>
            </w:hyperlink>
            <w:r w:rsidR="00777225" w:rsidRPr="00777225">
              <w:rPr>
                <w:rFonts w:ascii="Cambria" w:hAnsi="Cambria" w:cs="Segoe UI"/>
                <w:sz w:val="24"/>
                <w:szCs w:val="24"/>
              </w:rPr>
              <w:t xml:space="preserve">  </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07CE661" w14:textId="65D80126" w:rsidR="004475B3" w:rsidRDefault="00786106"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Page 29 from this chapter in </w:t>
            </w:r>
            <w:r w:rsidRPr="00786106">
              <w:rPr>
                <w:rFonts w:ascii="Cambria" w:hAnsi="Cambria" w:cs="Calibri"/>
                <w:color w:val="201F1E"/>
                <w:sz w:val="20"/>
                <w:szCs w:val="20"/>
              </w:rPr>
              <w:t>TOPLIS</w:t>
            </w:r>
            <w:r>
              <w:rPr>
                <w:rFonts w:ascii="Cambria" w:hAnsi="Cambria" w:cs="Calibri"/>
                <w:color w:val="201F1E"/>
                <w:sz w:val="20"/>
                <w:szCs w:val="20"/>
              </w:rPr>
              <w:t xml:space="preserve"> (2015) discusses the role of teaching assistants in science lessons.</w:t>
            </w:r>
          </w:p>
          <w:p w14:paraId="312431A9" w14:textId="77777777" w:rsidR="00EA7A61" w:rsidRDefault="00EA7A61" w:rsidP="00B5000E">
            <w:pPr>
              <w:pStyle w:val="xmsolistparagraph"/>
              <w:shd w:val="clear" w:color="auto" w:fill="FFFFFF"/>
              <w:spacing w:before="0" w:beforeAutospacing="0" w:after="0" w:afterAutospacing="0"/>
              <w:rPr>
                <w:rFonts w:ascii="Cambria" w:hAnsi="Cambria" w:cs="Calibri"/>
                <w:color w:val="201F1E"/>
                <w:sz w:val="20"/>
                <w:szCs w:val="20"/>
              </w:rPr>
            </w:pPr>
          </w:p>
          <w:p w14:paraId="72DD3E14" w14:textId="7ACA7C70" w:rsidR="00EA7A61" w:rsidRDefault="00786106"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Pr>
                  <w:rStyle w:val="Hyperlink"/>
                  <w:rFonts w:ascii="Cambria" w:hAnsi="Cambria" w:cs="Calibri"/>
                  <w:sz w:val="20"/>
                  <w:szCs w:val="20"/>
                </w:rPr>
                <w:t>WORKING IN A S</w:t>
              </w:r>
              <w:r>
                <w:rPr>
                  <w:rStyle w:val="Hyperlink"/>
                  <w:rFonts w:ascii="Cambria" w:hAnsi="Cambria" w:cs="Calibri"/>
                  <w:sz w:val="20"/>
                  <w:szCs w:val="20"/>
                </w:rPr>
                <w:t>C</w:t>
              </w:r>
              <w:r>
                <w:rPr>
                  <w:rStyle w:val="Hyperlink"/>
                  <w:rFonts w:ascii="Cambria" w:hAnsi="Cambria" w:cs="Calibri"/>
                  <w:sz w:val="20"/>
                  <w:szCs w:val="20"/>
                </w:rPr>
                <w:t>IENCE DEPARTMENT</w:t>
              </w:r>
            </w:hyperlink>
          </w:p>
          <w:p w14:paraId="0C1079E7" w14:textId="77777777" w:rsidR="00786106" w:rsidRDefault="00786106" w:rsidP="00B5000E">
            <w:pPr>
              <w:pStyle w:val="xmsolistparagraph"/>
              <w:shd w:val="clear" w:color="auto" w:fill="FFFFFF"/>
              <w:spacing w:before="0" w:beforeAutospacing="0" w:after="0" w:afterAutospacing="0"/>
              <w:rPr>
                <w:rFonts w:ascii="Cambria" w:hAnsi="Cambria" w:cs="Calibri"/>
                <w:color w:val="201F1E"/>
                <w:sz w:val="20"/>
                <w:szCs w:val="20"/>
              </w:rPr>
            </w:pPr>
          </w:p>
          <w:p w14:paraId="49E1EFE4" w14:textId="5EFD4451" w:rsidR="00786106" w:rsidRDefault="00786106" w:rsidP="00786106">
            <w:pPr>
              <w:pStyle w:val="xmsolistparagraph"/>
              <w:shd w:val="clear" w:color="auto" w:fill="FFFFFF"/>
              <w:spacing w:before="0" w:beforeAutospacing="0" w:after="0" w:afterAutospacing="0"/>
              <w:rPr>
                <w:rFonts w:ascii="Cambria" w:hAnsi="Cambria" w:cs="Calibri"/>
                <w:color w:val="201F1E"/>
                <w:sz w:val="20"/>
                <w:szCs w:val="20"/>
              </w:rPr>
            </w:pPr>
            <w:r w:rsidRPr="00786106">
              <w:rPr>
                <w:rFonts w:ascii="Cambria" w:hAnsi="Cambria" w:cs="Calibri"/>
                <w:color w:val="201F1E"/>
                <w:sz w:val="20"/>
                <w:szCs w:val="20"/>
              </w:rPr>
              <w:t xml:space="preserve">TOPLIS, R., ed., 2015. </w:t>
            </w:r>
            <w:r w:rsidRPr="00786106">
              <w:rPr>
                <w:rFonts w:ascii="Cambria" w:hAnsi="Cambria" w:cs="Calibri"/>
                <w:i/>
                <w:iCs/>
                <w:color w:val="201F1E"/>
                <w:sz w:val="20"/>
                <w:szCs w:val="20"/>
              </w:rPr>
              <w:t>Learning to Teach Science in Secondary School: A Companion to School Experience</w:t>
            </w:r>
            <w:r w:rsidRPr="00786106">
              <w:rPr>
                <w:rFonts w:ascii="Cambria" w:hAnsi="Cambria" w:cs="Calibri"/>
                <w:color w:val="201F1E"/>
                <w:sz w:val="20"/>
                <w:szCs w:val="20"/>
              </w:rPr>
              <w:t>.4th ed. London: Routledge.</w:t>
            </w:r>
          </w:p>
          <w:p w14:paraId="0B74C5AC" w14:textId="77777777" w:rsidR="00DA3C8A" w:rsidRDefault="00DA3C8A"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2AAA515" w14:textId="77777777" w:rsidR="00AD4E8D" w:rsidRDefault="00AD4E8D" w:rsidP="00AD4E8D">
            <w:pPr>
              <w:pStyle w:val="Default"/>
              <w:rPr>
                <w:color w:val="auto"/>
              </w:rPr>
            </w:pPr>
          </w:p>
          <w:p w14:paraId="278BE455" w14:textId="77777777" w:rsidR="00AD4E8D" w:rsidRDefault="00AD4E8D" w:rsidP="00AD4E8D">
            <w:pPr>
              <w:pStyle w:val="Default"/>
              <w:numPr>
                <w:ilvl w:val="0"/>
                <w:numId w:val="8"/>
              </w:numPr>
              <w:rPr>
                <w:sz w:val="20"/>
                <w:szCs w:val="20"/>
              </w:rPr>
            </w:pPr>
            <w:r>
              <w:rPr>
                <w:sz w:val="20"/>
                <w:szCs w:val="20"/>
              </w:rPr>
              <w:t xml:space="preserve">Additional members of staff provide valuable support with individual/ groups of pupils in addition to flexibly grouping pupils within a class to provide more tailored support. </w:t>
            </w:r>
          </w:p>
          <w:p w14:paraId="3CC35238" w14:textId="77777777" w:rsidR="00AD4E8D" w:rsidRDefault="00AD4E8D" w:rsidP="00AD4E8D">
            <w:pPr>
              <w:pStyle w:val="Default"/>
              <w:rPr>
                <w:sz w:val="20"/>
                <w:szCs w:val="20"/>
              </w:rPr>
            </w:pPr>
          </w:p>
          <w:p w14:paraId="2C35F0CF" w14:textId="2ADE04B0" w:rsidR="00AD4E8D" w:rsidRDefault="00AD4E8D" w:rsidP="00AD4E8D">
            <w:pPr>
              <w:pStyle w:val="Default"/>
              <w:numPr>
                <w:ilvl w:val="0"/>
                <w:numId w:val="8"/>
              </w:numPr>
              <w:rPr>
                <w:sz w:val="20"/>
                <w:szCs w:val="20"/>
              </w:rPr>
            </w:pPr>
            <w:r>
              <w:rPr>
                <w:sz w:val="20"/>
                <w:szCs w:val="20"/>
              </w:rPr>
              <w:t xml:space="preserve">Teaching assistants (TAs) can support pupils more effectively when they are prepared for lessons by teachers, and when TAs supplement rather than replace support from teachers. </w:t>
            </w:r>
          </w:p>
          <w:p w14:paraId="2C63ED19" w14:textId="77777777" w:rsidR="00AD4E8D" w:rsidRDefault="00AD4E8D" w:rsidP="00AD4E8D">
            <w:pPr>
              <w:pStyle w:val="Default"/>
              <w:rPr>
                <w:sz w:val="20"/>
                <w:szCs w:val="20"/>
              </w:rPr>
            </w:pPr>
          </w:p>
          <w:p w14:paraId="108B9EE4" w14:textId="556AFC64" w:rsidR="00AD4E8D" w:rsidRDefault="00AD4E8D" w:rsidP="00AD4E8D">
            <w:pPr>
              <w:pStyle w:val="Default"/>
              <w:numPr>
                <w:ilvl w:val="0"/>
                <w:numId w:val="8"/>
              </w:numPr>
              <w:rPr>
                <w:sz w:val="20"/>
                <w:szCs w:val="20"/>
              </w:rPr>
            </w:pPr>
            <w:r>
              <w:rPr>
                <w:sz w:val="20"/>
                <w:szCs w:val="20"/>
              </w:rPr>
              <w:t xml:space="preserve">Seeking to understand pupils’ differences, including their different levels of prior knowledge and potential barriers to learning, is an essential part of science teaching. </w:t>
            </w:r>
          </w:p>
          <w:p w14:paraId="45BA5126" w14:textId="77777777" w:rsidR="00AD4E8D" w:rsidRDefault="00AD4E8D" w:rsidP="00AD4E8D">
            <w:pPr>
              <w:pStyle w:val="Default"/>
              <w:rPr>
                <w:sz w:val="20"/>
                <w:szCs w:val="20"/>
              </w:rPr>
            </w:pPr>
          </w:p>
          <w:p w14:paraId="1C514A00" w14:textId="77777777" w:rsidR="00AD4E8D" w:rsidRDefault="00AD4E8D" w:rsidP="00AD4E8D">
            <w:pPr>
              <w:pStyle w:val="Default"/>
              <w:numPr>
                <w:ilvl w:val="0"/>
                <w:numId w:val="8"/>
              </w:numPr>
              <w:rPr>
                <w:sz w:val="20"/>
                <w:szCs w:val="20"/>
              </w:rPr>
            </w:pPr>
            <w:r>
              <w:rPr>
                <w:sz w:val="20"/>
                <w:szCs w:val="20"/>
              </w:rPr>
              <w:t xml:space="preserve">It is important to work collaboratively and share the intended lesson outcomes with </w:t>
            </w:r>
          </w:p>
          <w:p w14:paraId="3BBD703A" w14:textId="66FAC4F2" w:rsidR="00AD4E8D" w:rsidRDefault="00AD4E8D" w:rsidP="00AD4E8D">
            <w:pPr>
              <w:pStyle w:val="Default"/>
              <w:rPr>
                <w:sz w:val="20"/>
                <w:szCs w:val="20"/>
              </w:rPr>
            </w:pPr>
            <w:r>
              <w:rPr>
                <w:sz w:val="20"/>
                <w:szCs w:val="20"/>
              </w:rPr>
              <w:t xml:space="preserve">             teaching assistants ahead of lessons. </w:t>
            </w:r>
          </w:p>
          <w:p w14:paraId="6E471BDA" w14:textId="77777777" w:rsidR="00AD4E8D" w:rsidRDefault="00AD4E8D" w:rsidP="00AD4E8D">
            <w:pPr>
              <w:pStyle w:val="Default"/>
              <w:rPr>
                <w:sz w:val="20"/>
                <w:szCs w:val="20"/>
              </w:rPr>
            </w:pPr>
          </w:p>
          <w:p w14:paraId="4E488AE5" w14:textId="2CF8F1F6" w:rsidR="006B0AB6" w:rsidRPr="00523D39" w:rsidRDefault="006B0AB6" w:rsidP="0027042C">
            <w:pPr>
              <w:pStyle w:val="Default"/>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A248578" w14:textId="77777777" w:rsidR="00AD4E8D" w:rsidRDefault="00AD4E8D" w:rsidP="00AD4E8D">
            <w:pPr>
              <w:pStyle w:val="Default"/>
              <w:rPr>
                <w:color w:val="auto"/>
              </w:rPr>
            </w:pPr>
          </w:p>
          <w:p w14:paraId="56210A8F" w14:textId="77777777" w:rsidR="00AD4E8D" w:rsidRDefault="00AD4E8D" w:rsidP="00AD4E8D">
            <w:pPr>
              <w:pStyle w:val="Default"/>
              <w:rPr>
                <w:sz w:val="20"/>
                <w:szCs w:val="20"/>
              </w:rPr>
            </w:pPr>
            <w:r>
              <w:rPr>
                <w:sz w:val="20"/>
                <w:szCs w:val="20"/>
              </w:rPr>
              <w:t xml:space="preserve">● Demonstrate activities that can stretch and challenge pupils of all abilities. This may include critically reflecting on the use of modelling and scaffolding. </w:t>
            </w:r>
          </w:p>
          <w:p w14:paraId="4C9EF21B" w14:textId="77777777" w:rsidR="00AD4E8D" w:rsidRDefault="00AD4E8D" w:rsidP="00AD4E8D">
            <w:pPr>
              <w:pStyle w:val="Default"/>
              <w:rPr>
                <w:sz w:val="20"/>
                <w:szCs w:val="20"/>
              </w:rPr>
            </w:pPr>
          </w:p>
          <w:p w14:paraId="08BACDB4" w14:textId="77777777" w:rsidR="00AD4E8D" w:rsidRDefault="00AD4E8D" w:rsidP="00AD4E8D">
            <w:pPr>
              <w:pStyle w:val="Default"/>
              <w:rPr>
                <w:sz w:val="20"/>
                <w:szCs w:val="20"/>
              </w:rPr>
            </w:pPr>
            <w:r>
              <w:rPr>
                <w:sz w:val="20"/>
                <w:szCs w:val="20"/>
              </w:rPr>
              <w:t xml:space="preserve">● Exemplify lessons using the TA’s knowledge and skills to enhance pupil progress. </w:t>
            </w:r>
          </w:p>
          <w:p w14:paraId="01722858" w14:textId="77777777" w:rsidR="00AD4E8D" w:rsidRDefault="00AD4E8D" w:rsidP="00AD4E8D">
            <w:pPr>
              <w:pStyle w:val="Default"/>
              <w:rPr>
                <w:sz w:val="20"/>
                <w:szCs w:val="20"/>
              </w:rPr>
            </w:pPr>
          </w:p>
          <w:p w14:paraId="15278F95" w14:textId="5235A22D" w:rsidR="00550C65" w:rsidRDefault="00AD4E8D" w:rsidP="00550C65">
            <w:pPr>
              <w:pStyle w:val="Default"/>
              <w:rPr>
                <w:sz w:val="20"/>
                <w:szCs w:val="20"/>
              </w:rPr>
            </w:pPr>
            <w:r>
              <w:rPr>
                <w:sz w:val="20"/>
                <w:szCs w:val="20"/>
              </w:rPr>
              <w:t xml:space="preserve">● Analyse the importance of planning ensure that support provided by teaching assistants in lessons is additional to, rather than a replacement for, support from the teacher. </w:t>
            </w:r>
          </w:p>
          <w:p w14:paraId="3437E904" w14:textId="181A2963" w:rsidR="00CB44DE" w:rsidRPr="00523D39" w:rsidRDefault="00CB44DE" w:rsidP="009879A9">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4BA011F" w14:textId="2F275A2E" w:rsidR="00EA7A61" w:rsidRPr="00EA7A61" w:rsidRDefault="00B5000E" w:rsidP="00EA7A61">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9E4201">
              <w:t xml:space="preserve"> </w:t>
            </w:r>
            <w:r w:rsidR="00AD4E8D" w:rsidRPr="00AD4E8D">
              <w:t>How can you ensure that the support provided by teaching assistants in your lessons is additional to, rather than a replacement for, your own support as the teacher?</w:t>
            </w:r>
          </w:p>
          <w:p w14:paraId="6A09A617" w14:textId="1AF2F948" w:rsidR="00032784" w:rsidRPr="00032784" w:rsidRDefault="00032784" w:rsidP="00032784">
            <w:pPr>
              <w:pBdr>
                <w:top w:val="nil"/>
                <w:left w:val="nil"/>
                <w:bottom w:val="nil"/>
                <w:right w:val="nil"/>
                <w:between w:val="nil"/>
              </w:pBdr>
              <w:jc w:val="both"/>
              <w:rPr>
                <w:rFonts w:ascii="Cambria" w:hAnsi="Cambria"/>
                <w:b/>
                <w:bCs/>
                <w:sz w:val="20"/>
                <w:szCs w:val="20"/>
              </w:rPr>
            </w:pPr>
          </w:p>
          <w:p w14:paraId="7779B294" w14:textId="6EC28318" w:rsidR="006B0AB6" w:rsidRPr="00550C65" w:rsidRDefault="006B0AB6" w:rsidP="00550C65">
            <w:pPr>
              <w:pStyle w:val="Default"/>
              <w:jc w:val="both"/>
              <w:rPr>
                <w:sz w:val="20"/>
                <w:szCs w:val="20"/>
              </w:rPr>
            </w:pPr>
          </w:p>
          <w:p w14:paraId="16DA4870" w14:textId="77777777" w:rsidR="006B0AB6" w:rsidRDefault="006B0AB6" w:rsidP="00B5000E">
            <w:pPr>
              <w:pBdr>
                <w:top w:val="nil"/>
                <w:left w:val="nil"/>
                <w:bottom w:val="nil"/>
                <w:right w:val="nil"/>
                <w:between w:val="nil"/>
              </w:pBdr>
              <w:jc w:val="both"/>
              <w:rPr>
                <w:rFonts w:ascii="Cambria" w:hAnsi="Cambria"/>
                <w:b/>
                <w:bCs/>
                <w:sz w:val="20"/>
                <w:szCs w:val="20"/>
              </w:rPr>
            </w:pPr>
          </w:p>
          <w:p w14:paraId="287ED11E" w14:textId="77777777" w:rsidR="006B0AB6" w:rsidRDefault="006B0AB6" w:rsidP="00B5000E">
            <w:pPr>
              <w:pBdr>
                <w:top w:val="nil"/>
                <w:left w:val="nil"/>
                <w:bottom w:val="nil"/>
                <w:right w:val="nil"/>
                <w:between w:val="nil"/>
              </w:pBdr>
              <w:jc w:val="both"/>
              <w:rPr>
                <w:rFonts w:ascii="Cambria" w:hAnsi="Cambria"/>
                <w:b/>
                <w:bCs/>
                <w:sz w:val="20"/>
                <w:szCs w:val="20"/>
              </w:rPr>
            </w:pPr>
          </w:p>
          <w:p w14:paraId="5BE1524D" w14:textId="77777777" w:rsidR="006B0AB6" w:rsidRDefault="006B0AB6" w:rsidP="00B5000E">
            <w:pPr>
              <w:pBdr>
                <w:top w:val="nil"/>
                <w:left w:val="nil"/>
                <w:bottom w:val="nil"/>
                <w:right w:val="nil"/>
                <w:between w:val="nil"/>
              </w:pBdr>
              <w:jc w:val="both"/>
              <w:rPr>
                <w:rFonts w:ascii="Cambria" w:hAnsi="Cambria"/>
                <w:b/>
                <w:bCs/>
                <w:sz w:val="20"/>
                <w:szCs w:val="20"/>
              </w:rPr>
            </w:pPr>
          </w:p>
          <w:p w14:paraId="3D7812DF" w14:textId="77777777" w:rsidR="006B0AB6" w:rsidRDefault="006B0AB6" w:rsidP="00B5000E">
            <w:pPr>
              <w:pBdr>
                <w:top w:val="nil"/>
                <w:left w:val="nil"/>
                <w:bottom w:val="nil"/>
                <w:right w:val="nil"/>
                <w:between w:val="nil"/>
              </w:pBdr>
              <w:jc w:val="both"/>
              <w:rPr>
                <w:rFonts w:ascii="Cambria" w:hAnsi="Cambria"/>
                <w:b/>
                <w:bCs/>
                <w:sz w:val="20"/>
                <w:szCs w:val="20"/>
              </w:rPr>
            </w:pPr>
          </w:p>
          <w:p w14:paraId="14DA50F0" w14:textId="77777777" w:rsidR="00AD4E8D" w:rsidRPr="00523D39" w:rsidRDefault="00AD4E8D"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0C3C5F0" w14:textId="77777777" w:rsidR="006B0AB6" w:rsidRDefault="006B0AB6" w:rsidP="00B5000E">
            <w:pPr>
              <w:pBdr>
                <w:top w:val="nil"/>
                <w:left w:val="nil"/>
                <w:bottom w:val="nil"/>
                <w:right w:val="nil"/>
                <w:between w:val="nil"/>
              </w:pBdr>
              <w:jc w:val="both"/>
              <w:rPr>
                <w:rFonts w:ascii="Cambria" w:hAnsi="Cambria"/>
                <w:b/>
                <w:bCs/>
                <w:sz w:val="20"/>
                <w:szCs w:val="20"/>
              </w:rPr>
            </w:pPr>
          </w:p>
          <w:p w14:paraId="03A0EA23" w14:textId="77777777" w:rsidR="006B0AB6" w:rsidRDefault="006B0AB6" w:rsidP="00B5000E">
            <w:pPr>
              <w:pBdr>
                <w:top w:val="nil"/>
                <w:left w:val="nil"/>
                <w:bottom w:val="nil"/>
                <w:right w:val="nil"/>
                <w:between w:val="nil"/>
              </w:pBdr>
              <w:jc w:val="both"/>
              <w:rPr>
                <w:rFonts w:ascii="Cambria" w:hAnsi="Cambria"/>
                <w:b/>
                <w:bCs/>
                <w:sz w:val="20"/>
                <w:szCs w:val="20"/>
              </w:rPr>
            </w:pPr>
          </w:p>
          <w:p w14:paraId="5939AF78" w14:textId="77777777" w:rsidR="006B0AB6" w:rsidRDefault="006B0AB6"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DA3C8A">
            <w:pPr>
              <w:pBdr>
                <w:top w:val="nil"/>
                <w:left w:val="nil"/>
                <w:bottom w:val="nil"/>
                <w:right w:val="nil"/>
                <w:between w:val="nil"/>
              </w:pBdr>
              <w:jc w:val="both"/>
              <w:rPr>
                <w:rFonts w:ascii="Cambria" w:hAnsi="Cambria"/>
                <w:b/>
                <w:bCs/>
                <w:sz w:val="20"/>
                <w:szCs w:val="20"/>
              </w:rPr>
            </w:pPr>
          </w:p>
          <w:p w14:paraId="251706DF" w14:textId="7A24F6EF" w:rsidR="00AD4E8D" w:rsidRPr="00AD4E8D" w:rsidRDefault="00B5000E" w:rsidP="00AD4E8D">
            <w:pPr>
              <w:pBdr>
                <w:top w:val="nil"/>
                <w:left w:val="nil"/>
                <w:bottom w:val="nil"/>
                <w:right w:val="nil"/>
                <w:between w:val="nil"/>
              </w:pBdr>
              <w:jc w:val="both"/>
              <w:rPr>
                <w:rFonts w:ascii="Cambria" w:hAnsi="Cambria"/>
                <w:b/>
                <w:bCs/>
                <w:i/>
                <w:iCs/>
              </w:rPr>
            </w:pPr>
            <w:r w:rsidRPr="00AD4E8D">
              <w:rPr>
                <w:rFonts w:ascii="Cambria" w:hAnsi="Cambria"/>
                <w:b/>
                <w:bCs/>
              </w:rPr>
              <w:t>Q2:</w:t>
            </w:r>
            <w:r w:rsidR="006B0AB6" w:rsidRPr="00AD4E8D">
              <w:rPr>
                <w:rFonts w:ascii="Cambria" w:hAnsi="Cambria"/>
                <w:b/>
                <w:bCs/>
              </w:rPr>
              <w:t xml:space="preserve"> </w:t>
            </w:r>
            <w:r w:rsidR="009E4201" w:rsidRPr="00AD4E8D">
              <w:t xml:space="preserve"> </w:t>
            </w:r>
            <w:r w:rsidR="00AD4E8D" w:rsidRPr="00AD4E8D">
              <w:t xml:space="preserve">How do you adapt instruction to stretch and challenge pupils of varying abilities in your subject area? Evaluate an example of an activity that has worked well. </w:t>
            </w:r>
          </w:p>
          <w:p w14:paraId="4FE5885D" w14:textId="424BAF2B" w:rsidR="00EA7A61" w:rsidRPr="00EA7A61" w:rsidRDefault="00EA7A61" w:rsidP="00EA7A61">
            <w:pPr>
              <w:pBdr>
                <w:top w:val="nil"/>
                <w:left w:val="nil"/>
                <w:bottom w:val="nil"/>
                <w:right w:val="nil"/>
                <w:between w:val="nil"/>
              </w:pBdr>
              <w:jc w:val="both"/>
              <w:rPr>
                <w:rFonts w:ascii="Cambria" w:hAnsi="Cambria"/>
                <w:b/>
                <w:bCs/>
                <w:i/>
                <w:iCs/>
                <w:sz w:val="20"/>
                <w:szCs w:val="20"/>
              </w:rPr>
            </w:pPr>
          </w:p>
          <w:p w14:paraId="3AEDB71F" w14:textId="6EA6D255" w:rsidR="00B5000E" w:rsidRDefault="00B5000E" w:rsidP="00B5000E">
            <w:pPr>
              <w:pBdr>
                <w:top w:val="nil"/>
                <w:left w:val="nil"/>
                <w:bottom w:val="nil"/>
                <w:right w:val="nil"/>
                <w:between w:val="nil"/>
              </w:pBdr>
              <w:jc w:val="both"/>
              <w:rPr>
                <w:rFonts w:ascii="Cambria" w:hAnsi="Cambria"/>
                <w:b/>
                <w:bCs/>
                <w:sz w:val="20"/>
                <w:szCs w:val="20"/>
              </w:rPr>
            </w:pPr>
          </w:p>
          <w:p w14:paraId="288D492B" w14:textId="77777777" w:rsidR="006B0AB6" w:rsidRDefault="006B0AB6" w:rsidP="00B5000E">
            <w:pPr>
              <w:pBdr>
                <w:top w:val="nil"/>
                <w:left w:val="nil"/>
                <w:bottom w:val="nil"/>
                <w:right w:val="nil"/>
                <w:between w:val="nil"/>
              </w:pBdr>
              <w:jc w:val="both"/>
              <w:rPr>
                <w:rFonts w:ascii="Cambria" w:hAnsi="Cambria"/>
                <w:b/>
                <w:bCs/>
                <w:sz w:val="20"/>
                <w:szCs w:val="20"/>
              </w:rPr>
            </w:pPr>
          </w:p>
          <w:p w14:paraId="6605AADD" w14:textId="77777777" w:rsidR="006B0AB6" w:rsidRDefault="006B0AB6" w:rsidP="00B5000E">
            <w:pPr>
              <w:pBdr>
                <w:top w:val="nil"/>
                <w:left w:val="nil"/>
                <w:bottom w:val="nil"/>
                <w:right w:val="nil"/>
                <w:between w:val="nil"/>
              </w:pBdr>
              <w:jc w:val="both"/>
              <w:rPr>
                <w:rFonts w:ascii="Cambria" w:hAnsi="Cambria"/>
                <w:b/>
                <w:bCs/>
                <w:sz w:val="20"/>
                <w:szCs w:val="20"/>
              </w:rPr>
            </w:pPr>
          </w:p>
          <w:p w14:paraId="2F5E530A" w14:textId="77777777" w:rsidR="006B0AB6" w:rsidRDefault="006B0AB6" w:rsidP="00B5000E">
            <w:pPr>
              <w:pBdr>
                <w:top w:val="nil"/>
                <w:left w:val="nil"/>
                <w:bottom w:val="nil"/>
                <w:right w:val="nil"/>
                <w:between w:val="nil"/>
              </w:pBdr>
              <w:jc w:val="both"/>
              <w:rPr>
                <w:rFonts w:ascii="Cambria" w:hAnsi="Cambria"/>
                <w:b/>
                <w:bCs/>
                <w:sz w:val="20"/>
                <w:szCs w:val="20"/>
              </w:rPr>
            </w:pPr>
          </w:p>
          <w:p w14:paraId="4D04CBA0" w14:textId="77777777" w:rsidR="006B0AB6" w:rsidRDefault="006B0AB6" w:rsidP="00B5000E">
            <w:pPr>
              <w:pBdr>
                <w:top w:val="nil"/>
                <w:left w:val="nil"/>
                <w:bottom w:val="nil"/>
                <w:right w:val="nil"/>
                <w:between w:val="nil"/>
              </w:pBdr>
              <w:jc w:val="both"/>
              <w:rPr>
                <w:rFonts w:ascii="Cambria" w:hAnsi="Cambria"/>
                <w:b/>
                <w:bCs/>
                <w:sz w:val="20"/>
                <w:szCs w:val="20"/>
              </w:rPr>
            </w:pPr>
          </w:p>
          <w:p w14:paraId="631092A0" w14:textId="77777777" w:rsidR="006B0AB6" w:rsidRDefault="006B0AB6" w:rsidP="00B5000E">
            <w:pPr>
              <w:pBdr>
                <w:top w:val="nil"/>
                <w:left w:val="nil"/>
                <w:bottom w:val="nil"/>
                <w:right w:val="nil"/>
                <w:between w:val="nil"/>
              </w:pBdr>
              <w:jc w:val="both"/>
              <w:rPr>
                <w:rFonts w:ascii="Cambria" w:hAnsi="Cambria"/>
                <w:b/>
                <w:bCs/>
                <w:sz w:val="20"/>
                <w:szCs w:val="20"/>
              </w:rPr>
            </w:pPr>
          </w:p>
          <w:p w14:paraId="6F0A3274" w14:textId="77777777" w:rsidR="006B0AB6" w:rsidRDefault="006B0AB6" w:rsidP="00B5000E">
            <w:pPr>
              <w:pBdr>
                <w:top w:val="nil"/>
                <w:left w:val="nil"/>
                <w:bottom w:val="nil"/>
                <w:right w:val="nil"/>
                <w:between w:val="nil"/>
              </w:pBdr>
              <w:jc w:val="both"/>
              <w:rPr>
                <w:rFonts w:ascii="Cambria" w:hAnsi="Cambria"/>
                <w:b/>
                <w:bCs/>
                <w:sz w:val="20"/>
                <w:szCs w:val="20"/>
              </w:rPr>
            </w:pPr>
          </w:p>
          <w:p w14:paraId="7BCBD284"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09D896" w14:textId="77777777" w:rsidR="006B0AB6" w:rsidRPr="00523D39" w:rsidRDefault="006B0AB6" w:rsidP="00DA3C8A">
            <w:pPr>
              <w:pBdr>
                <w:top w:val="nil"/>
                <w:left w:val="nil"/>
                <w:bottom w:val="nil"/>
                <w:right w:val="nil"/>
                <w:between w:val="nil"/>
              </w:pBdr>
              <w:jc w:val="both"/>
              <w:rPr>
                <w:rFonts w:ascii="Cambria" w:hAnsi="Cambria"/>
                <w:b/>
                <w:bCs/>
                <w:sz w:val="20"/>
                <w:szCs w:val="20"/>
              </w:rPr>
            </w:pPr>
          </w:p>
          <w:p w14:paraId="53CE73C1" w14:textId="77777777" w:rsidR="008B1D2B" w:rsidRDefault="008B1D2B" w:rsidP="006B0AB6">
            <w:pPr>
              <w:pBdr>
                <w:top w:val="nil"/>
                <w:left w:val="nil"/>
                <w:bottom w:val="nil"/>
                <w:right w:val="nil"/>
                <w:between w:val="nil"/>
              </w:pBdr>
              <w:jc w:val="both"/>
              <w:rPr>
                <w:rFonts w:ascii="Cambria" w:hAnsi="Cambria"/>
                <w:sz w:val="20"/>
                <w:szCs w:val="20"/>
              </w:rPr>
            </w:pPr>
          </w:p>
          <w:p w14:paraId="3355EA66" w14:textId="77777777" w:rsidR="00AD4E8D" w:rsidRDefault="00AD4E8D" w:rsidP="006B0AB6">
            <w:pPr>
              <w:pBdr>
                <w:top w:val="nil"/>
                <w:left w:val="nil"/>
                <w:bottom w:val="nil"/>
                <w:right w:val="nil"/>
                <w:between w:val="nil"/>
              </w:pBdr>
              <w:jc w:val="both"/>
              <w:rPr>
                <w:rFonts w:ascii="Cambria" w:hAnsi="Cambria"/>
                <w:sz w:val="20"/>
                <w:szCs w:val="20"/>
              </w:rPr>
            </w:pPr>
          </w:p>
          <w:p w14:paraId="11852BB5" w14:textId="27192A8F" w:rsidR="00AD4E8D" w:rsidRPr="00523D39" w:rsidRDefault="00AD4E8D" w:rsidP="006B0AB6">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72DFF81" w14:textId="77777777" w:rsidR="00C663BC"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p w14:paraId="7A6DC59F" w14:textId="77777777" w:rsidR="0027042C"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p>
          <w:p w14:paraId="79CD1FEE" w14:textId="77E36052" w:rsidR="0027042C" w:rsidRPr="00523D39"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r w:rsidRPr="0027042C">
              <w:rPr>
                <w:rFonts w:ascii="Cambria" w:hAnsi="Cambria" w:cs="Calibri"/>
                <w:b/>
                <w:bCs/>
                <w:color w:val="201F1E"/>
                <w:sz w:val="20"/>
                <w:szCs w:val="20"/>
                <w:u w:val="single"/>
              </w:rPr>
              <w:t>YES</w:t>
            </w:r>
            <w:r>
              <w:rPr>
                <w:rFonts w:ascii="Cambria" w:hAnsi="Cambria" w:cs="Calibri"/>
                <w:color w:val="201F1E"/>
                <w:sz w:val="20"/>
                <w:szCs w:val="20"/>
              </w:rPr>
              <w:t>/NO</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34CFF21"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5479C5">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46606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7907" w14:textId="77777777" w:rsidR="003C4D88" w:rsidRDefault="003C4D88" w:rsidP="00BB0205">
      <w:pPr>
        <w:spacing w:after="0" w:line="240" w:lineRule="auto"/>
      </w:pPr>
      <w:r>
        <w:separator/>
      </w:r>
    </w:p>
  </w:endnote>
  <w:endnote w:type="continuationSeparator" w:id="0">
    <w:p w14:paraId="14291768" w14:textId="77777777" w:rsidR="003C4D88" w:rsidRDefault="003C4D88"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4F0A" w14:textId="77777777" w:rsidR="003C4D88" w:rsidRDefault="003C4D88" w:rsidP="00BB0205">
      <w:pPr>
        <w:spacing w:after="0" w:line="240" w:lineRule="auto"/>
      </w:pPr>
      <w:r>
        <w:separator/>
      </w:r>
    </w:p>
  </w:footnote>
  <w:footnote w:type="continuationSeparator" w:id="0">
    <w:p w14:paraId="1FE3BF8A" w14:textId="77777777" w:rsidR="003C4D88" w:rsidRDefault="003C4D88"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8E1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B78F7"/>
    <w:multiLevelType w:val="hybridMultilevel"/>
    <w:tmpl w:val="AF88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BF21F3"/>
    <w:multiLevelType w:val="hybridMultilevel"/>
    <w:tmpl w:val="7BA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199E"/>
    <w:multiLevelType w:val="hybridMultilevel"/>
    <w:tmpl w:val="1FF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A75188"/>
    <w:multiLevelType w:val="hybridMultilevel"/>
    <w:tmpl w:val="911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7"/>
  </w:num>
  <w:num w:numId="2" w16cid:durableId="745959156">
    <w:abstractNumId w:val="6"/>
  </w:num>
  <w:num w:numId="3" w16cid:durableId="365060952">
    <w:abstractNumId w:val="3"/>
  </w:num>
  <w:num w:numId="4" w16cid:durableId="970749666">
    <w:abstractNumId w:val="2"/>
  </w:num>
  <w:num w:numId="5" w16cid:durableId="725759696">
    <w:abstractNumId w:val="0"/>
  </w:num>
  <w:num w:numId="6" w16cid:durableId="955520255">
    <w:abstractNumId w:val="4"/>
  </w:num>
  <w:num w:numId="7" w16cid:durableId="1717655452">
    <w:abstractNumId w:val="5"/>
  </w:num>
  <w:num w:numId="8" w16cid:durableId="1030226916">
    <w:abstractNumId w:val="8"/>
  </w:num>
  <w:num w:numId="9" w16cid:durableId="120537018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2784"/>
    <w:rsid w:val="000467DF"/>
    <w:rsid w:val="000A4500"/>
    <w:rsid w:val="000C0420"/>
    <w:rsid w:val="000D2747"/>
    <w:rsid w:val="000D5631"/>
    <w:rsid w:val="000D6922"/>
    <w:rsid w:val="000F7F57"/>
    <w:rsid w:val="00132F3C"/>
    <w:rsid w:val="001436B1"/>
    <w:rsid w:val="001506CA"/>
    <w:rsid w:val="00157999"/>
    <w:rsid w:val="00164C19"/>
    <w:rsid w:val="00166757"/>
    <w:rsid w:val="00187942"/>
    <w:rsid w:val="00193244"/>
    <w:rsid w:val="001A090B"/>
    <w:rsid w:val="001B0667"/>
    <w:rsid w:val="001B46A9"/>
    <w:rsid w:val="001B5C6F"/>
    <w:rsid w:val="001B5DFB"/>
    <w:rsid w:val="001E5B59"/>
    <w:rsid w:val="001F2CB3"/>
    <w:rsid w:val="0020392C"/>
    <w:rsid w:val="00203B1D"/>
    <w:rsid w:val="002048B7"/>
    <w:rsid w:val="002077E7"/>
    <w:rsid w:val="002176C6"/>
    <w:rsid w:val="002402B7"/>
    <w:rsid w:val="00244BD5"/>
    <w:rsid w:val="00257C5E"/>
    <w:rsid w:val="0026278D"/>
    <w:rsid w:val="00267F20"/>
    <w:rsid w:val="0027042C"/>
    <w:rsid w:val="00275428"/>
    <w:rsid w:val="00275519"/>
    <w:rsid w:val="00284E41"/>
    <w:rsid w:val="002945B0"/>
    <w:rsid w:val="002C6982"/>
    <w:rsid w:val="002D6840"/>
    <w:rsid w:val="002D71BC"/>
    <w:rsid w:val="002F0646"/>
    <w:rsid w:val="003324D5"/>
    <w:rsid w:val="00341E44"/>
    <w:rsid w:val="003433DA"/>
    <w:rsid w:val="003558A2"/>
    <w:rsid w:val="00360B99"/>
    <w:rsid w:val="00360FDF"/>
    <w:rsid w:val="00362E65"/>
    <w:rsid w:val="0036642F"/>
    <w:rsid w:val="00387F4F"/>
    <w:rsid w:val="00393C9C"/>
    <w:rsid w:val="00395BFE"/>
    <w:rsid w:val="003C0614"/>
    <w:rsid w:val="003C1D2B"/>
    <w:rsid w:val="003C4D88"/>
    <w:rsid w:val="003D2D45"/>
    <w:rsid w:val="003E7131"/>
    <w:rsid w:val="003F297E"/>
    <w:rsid w:val="004009A7"/>
    <w:rsid w:val="00402356"/>
    <w:rsid w:val="00403E3F"/>
    <w:rsid w:val="00446426"/>
    <w:rsid w:val="004475B3"/>
    <w:rsid w:val="00454F71"/>
    <w:rsid w:val="00464034"/>
    <w:rsid w:val="00466068"/>
    <w:rsid w:val="00470596"/>
    <w:rsid w:val="00485777"/>
    <w:rsid w:val="004933A3"/>
    <w:rsid w:val="004A0E13"/>
    <w:rsid w:val="004C3CDB"/>
    <w:rsid w:val="004F5A59"/>
    <w:rsid w:val="005031C0"/>
    <w:rsid w:val="005061DF"/>
    <w:rsid w:val="005113AE"/>
    <w:rsid w:val="005120DA"/>
    <w:rsid w:val="00523D39"/>
    <w:rsid w:val="00532449"/>
    <w:rsid w:val="00542102"/>
    <w:rsid w:val="005479C5"/>
    <w:rsid w:val="005502E1"/>
    <w:rsid w:val="00550C65"/>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0AB6"/>
    <w:rsid w:val="006B15D7"/>
    <w:rsid w:val="006B3909"/>
    <w:rsid w:val="006C0609"/>
    <w:rsid w:val="006D52FD"/>
    <w:rsid w:val="006E789E"/>
    <w:rsid w:val="006F6C00"/>
    <w:rsid w:val="00703A42"/>
    <w:rsid w:val="007052C0"/>
    <w:rsid w:val="0071620C"/>
    <w:rsid w:val="00723015"/>
    <w:rsid w:val="00726BDF"/>
    <w:rsid w:val="00745BFC"/>
    <w:rsid w:val="0075782C"/>
    <w:rsid w:val="00760D48"/>
    <w:rsid w:val="00775637"/>
    <w:rsid w:val="00777225"/>
    <w:rsid w:val="00786106"/>
    <w:rsid w:val="007904BD"/>
    <w:rsid w:val="007A0516"/>
    <w:rsid w:val="007B1A2C"/>
    <w:rsid w:val="007B4199"/>
    <w:rsid w:val="007C2932"/>
    <w:rsid w:val="007C66A6"/>
    <w:rsid w:val="007D2AA4"/>
    <w:rsid w:val="007E2240"/>
    <w:rsid w:val="007E3BF9"/>
    <w:rsid w:val="00800444"/>
    <w:rsid w:val="008151B0"/>
    <w:rsid w:val="008235B7"/>
    <w:rsid w:val="00826A63"/>
    <w:rsid w:val="00852211"/>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1093"/>
    <w:rsid w:val="00923CC5"/>
    <w:rsid w:val="00943673"/>
    <w:rsid w:val="00945A5D"/>
    <w:rsid w:val="009461D9"/>
    <w:rsid w:val="009606AB"/>
    <w:rsid w:val="0096319B"/>
    <w:rsid w:val="00965CE6"/>
    <w:rsid w:val="00966A4C"/>
    <w:rsid w:val="00970EA0"/>
    <w:rsid w:val="009879A9"/>
    <w:rsid w:val="009A5B5A"/>
    <w:rsid w:val="009B3121"/>
    <w:rsid w:val="009B6144"/>
    <w:rsid w:val="009C79B8"/>
    <w:rsid w:val="009D30D2"/>
    <w:rsid w:val="009E4201"/>
    <w:rsid w:val="00A00F62"/>
    <w:rsid w:val="00A166D0"/>
    <w:rsid w:val="00A27B4C"/>
    <w:rsid w:val="00A36B06"/>
    <w:rsid w:val="00A45924"/>
    <w:rsid w:val="00A461C0"/>
    <w:rsid w:val="00A61137"/>
    <w:rsid w:val="00A7227A"/>
    <w:rsid w:val="00A771B9"/>
    <w:rsid w:val="00A92CA0"/>
    <w:rsid w:val="00AA17CF"/>
    <w:rsid w:val="00AA3C08"/>
    <w:rsid w:val="00AB1862"/>
    <w:rsid w:val="00AC52AF"/>
    <w:rsid w:val="00AD1D6C"/>
    <w:rsid w:val="00AD2305"/>
    <w:rsid w:val="00AD4E8D"/>
    <w:rsid w:val="00AE0D6F"/>
    <w:rsid w:val="00AE47A3"/>
    <w:rsid w:val="00AE5D12"/>
    <w:rsid w:val="00B109B2"/>
    <w:rsid w:val="00B21622"/>
    <w:rsid w:val="00B5000E"/>
    <w:rsid w:val="00B71FAE"/>
    <w:rsid w:val="00B75F73"/>
    <w:rsid w:val="00B8188E"/>
    <w:rsid w:val="00BA06A2"/>
    <w:rsid w:val="00BA12BC"/>
    <w:rsid w:val="00BA3E39"/>
    <w:rsid w:val="00BB0205"/>
    <w:rsid w:val="00BC2D6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4364"/>
    <w:rsid w:val="00CD75DC"/>
    <w:rsid w:val="00CE7529"/>
    <w:rsid w:val="00D105DF"/>
    <w:rsid w:val="00D12C87"/>
    <w:rsid w:val="00D26EEE"/>
    <w:rsid w:val="00D67B11"/>
    <w:rsid w:val="00D7386B"/>
    <w:rsid w:val="00D8211D"/>
    <w:rsid w:val="00D852D6"/>
    <w:rsid w:val="00D87BC0"/>
    <w:rsid w:val="00D9612E"/>
    <w:rsid w:val="00DA3C8A"/>
    <w:rsid w:val="00DA4C7E"/>
    <w:rsid w:val="00DB4B64"/>
    <w:rsid w:val="00DD5A4F"/>
    <w:rsid w:val="00DF760B"/>
    <w:rsid w:val="00E02523"/>
    <w:rsid w:val="00E22452"/>
    <w:rsid w:val="00E27B26"/>
    <w:rsid w:val="00E4578A"/>
    <w:rsid w:val="00E457EF"/>
    <w:rsid w:val="00E45891"/>
    <w:rsid w:val="00E5003C"/>
    <w:rsid w:val="00E53DAA"/>
    <w:rsid w:val="00E65DEB"/>
    <w:rsid w:val="00EA77D3"/>
    <w:rsid w:val="00EA7A61"/>
    <w:rsid w:val="00EB1FA3"/>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356735487">
      <w:bodyDiv w:val="1"/>
      <w:marLeft w:val="0"/>
      <w:marRight w:val="0"/>
      <w:marTop w:val="0"/>
      <w:marBottom w:val="0"/>
      <w:divBdr>
        <w:top w:val="none" w:sz="0" w:space="0" w:color="auto"/>
        <w:left w:val="none" w:sz="0" w:space="0" w:color="auto"/>
        <w:bottom w:val="none" w:sz="0" w:space="0" w:color="auto"/>
        <w:right w:val="none" w:sz="0" w:space="0" w:color="auto"/>
      </w:divBdr>
    </w:div>
    <w:div w:id="634608040">
      <w:bodyDiv w:val="1"/>
      <w:marLeft w:val="0"/>
      <w:marRight w:val="0"/>
      <w:marTop w:val="0"/>
      <w:marBottom w:val="0"/>
      <w:divBdr>
        <w:top w:val="none" w:sz="0" w:space="0" w:color="auto"/>
        <w:left w:val="none" w:sz="0" w:space="0" w:color="auto"/>
        <w:bottom w:val="none" w:sz="0" w:space="0" w:color="auto"/>
        <w:right w:val="none" w:sz="0" w:space="0" w:color="auto"/>
      </w:divBdr>
    </w:div>
    <w:div w:id="119507179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3556404">
      <w:bodyDiv w:val="1"/>
      <w:marLeft w:val="0"/>
      <w:marRight w:val="0"/>
      <w:marTop w:val="0"/>
      <w:marBottom w:val="0"/>
      <w:divBdr>
        <w:top w:val="none" w:sz="0" w:space="0" w:color="auto"/>
        <w:left w:val="none" w:sz="0" w:space="0" w:color="auto"/>
        <w:bottom w:val="none" w:sz="0" w:space="0" w:color="auto"/>
        <w:right w:val="none" w:sz="0" w:space="0" w:color="auto"/>
      </w:divBdr>
    </w:div>
    <w:div w:id="1539901301">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901594267">
      <w:bodyDiv w:val="1"/>
      <w:marLeft w:val="0"/>
      <w:marRight w:val="0"/>
      <w:marTop w:val="0"/>
      <w:marBottom w:val="0"/>
      <w:divBdr>
        <w:top w:val="none" w:sz="0" w:space="0" w:color="auto"/>
        <w:left w:val="none" w:sz="0" w:space="0" w:color="auto"/>
        <w:bottom w:val="none" w:sz="0" w:space="0" w:color="auto"/>
        <w:right w:val="none" w:sz="0" w:space="0" w:color="auto"/>
      </w:divBdr>
    </w:div>
    <w:div w:id="1924293340">
      <w:bodyDiv w:val="1"/>
      <w:marLeft w:val="0"/>
      <w:marRight w:val="0"/>
      <w:marTop w:val="0"/>
      <w:marBottom w:val="0"/>
      <w:divBdr>
        <w:top w:val="none" w:sz="0" w:space="0" w:color="auto"/>
        <w:left w:val="none" w:sz="0" w:space="0" w:color="auto"/>
        <w:bottom w:val="none" w:sz="0" w:space="0" w:color="auto"/>
        <w:right w:val="none" w:sz="0" w:space="0" w:color="auto"/>
      </w:divBdr>
    </w:div>
    <w:div w:id="195409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SlISD54-uYHtdNGR760WQE4KQb5N1nsn/view?usp=sharin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educationendowmentfoundation.org.uk%2Feducation-evidence%2Fguidance-reports%2Fteaching-assistants&amp;data=05%7C02%7CPorterb%40edgehill.ac.uk%7Cd2f27da7cb954b6ddf8808dc2718bfd8%7C093586914d8e491caa760a5cbd5ba734%7C0%7C0%7C638428234461042133%7CUnknown%7CTWFpbGZsb3d8eyJWIjoiMC4wLjAwMDAiLCJQIjoiV2luMzIiLCJBTiI6Ik1haWwiLCJXVCI6Mn0%3D%7C0%7C%7C%7C&amp;sdata=VFWFcgEEVU7HPek36DInXGnzQkjGTuAKmVPG%2FBKhb%2FI%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16</cp:revision>
  <cp:lastPrinted>2023-05-18T14:08:00Z</cp:lastPrinted>
  <dcterms:created xsi:type="dcterms:W3CDTF">2023-06-21T15:25:00Z</dcterms:created>
  <dcterms:modified xsi:type="dcterms:W3CDTF">2024-02-06T17:01:00Z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