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2"/>
        <w:gridCol w:w="895"/>
        <w:gridCol w:w="1683"/>
        <w:gridCol w:w="1127"/>
        <w:gridCol w:w="557"/>
        <w:gridCol w:w="516"/>
        <w:gridCol w:w="1200"/>
        <w:gridCol w:w="575"/>
        <w:gridCol w:w="1118"/>
        <w:gridCol w:w="1226"/>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81E8E7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20413B26"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9F3FF0">
              <w:rPr>
                <w:rFonts w:ascii="Cambria" w:hAnsi="Cambria"/>
                <w:b/>
                <w:bCs/>
                <w:sz w:val="20"/>
                <w:szCs w:val="20"/>
              </w:rPr>
              <w:t>BA(Hons Secondary English Education with</w:t>
            </w:r>
            <w:r w:rsidR="00CF5F64">
              <w:rPr>
                <w:rFonts w:ascii="Cambria" w:hAnsi="Cambria"/>
                <w:b/>
                <w:bCs/>
                <w:sz w:val="20"/>
                <w:szCs w:val="20"/>
              </w:rPr>
              <w:t xml:space="preserve"> QTS C</w:t>
            </w:r>
            <w:r w:rsidR="009F3FF0">
              <w:rPr>
                <w:rFonts w:ascii="Cambria" w:hAnsi="Cambria"/>
                <w:b/>
                <w:bCs/>
                <w:sz w:val="20"/>
                <w:szCs w:val="20"/>
              </w:rPr>
              <w:t>o</w:t>
            </w:r>
            <w:r w:rsidR="00CF5F64">
              <w:rPr>
                <w:rFonts w:ascii="Cambria" w:hAnsi="Cambria"/>
                <w:b/>
                <w:bCs/>
                <w:sz w:val="20"/>
                <w:szCs w:val="20"/>
              </w:rPr>
              <w:t>urse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44C7F81D"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C9ACF1F" w:rsidR="004009A7" w:rsidRPr="00523D39" w:rsidRDefault="006E4CBC">
            <w:pPr>
              <w:jc w:val="both"/>
              <w:rPr>
                <w:rFonts w:ascii="Cambria" w:hAnsi="Cambria"/>
                <w:b/>
                <w:bCs/>
                <w:sz w:val="20"/>
                <w:szCs w:val="20"/>
              </w:rPr>
            </w:pPr>
            <w:r>
              <w:rPr>
                <w:rFonts w:ascii="Cambria" w:hAnsi="Cambria"/>
                <w:b/>
                <w:bCs/>
                <w:sz w:val="20"/>
                <w:szCs w:val="20"/>
              </w:rPr>
              <w:t>5</w:t>
            </w:r>
            <w:r w:rsidRPr="006E4CBC">
              <w:rPr>
                <w:rFonts w:ascii="Cambria" w:hAnsi="Cambria"/>
                <w:b/>
                <w:bCs/>
                <w:sz w:val="20"/>
                <w:szCs w:val="20"/>
                <w:vertAlign w:val="superscript"/>
              </w:rPr>
              <w:t>th</w:t>
            </w:r>
            <w:r>
              <w:rPr>
                <w:rFonts w:ascii="Cambria" w:hAnsi="Cambria"/>
                <w:b/>
                <w:bCs/>
                <w:sz w:val="20"/>
                <w:szCs w:val="20"/>
              </w:rPr>
              <w:t xml:space="preserve"> February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ACC30DE"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 xml:space="preserve">The focus the reading is on intelligence and motivation which are two of the most important individual factors of students predicting school achievement. The reading suggests that there is evidence that motivational variables predict school grades and states that intrinsic motivation and extrinsic motivation are two constructs embedded in Self-Determination Theory. </w:t>
            </w:r>
          </w:p>
          <w:p w14:paraId="767B7C34"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 xml:space="preserve">The reading defines intrinsic motivation as engaging in something for its own sake and for enjoyment, whilst extrinsic motivation is defined as doing something for its consequences, such as obtaining a reward or avoiding punishment. </w:t>
            </w:r>
          </w:p>
          <w:p w14:paraId="7A58C2A2"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Intrinsic motivation is usually operationalized by asking how much a person likes doing a certain activity. Extrinsic motivation is usually operationalized as the degree to which a person completes a task or goes to school for external reasons. In the school context, intrinsic and extrinsic motivation can be operationalized both domain-specifically (for example math-specific) and globally (for example intrinsic motivation for school in general).</w:t>
            </w:r>
          </w:p>
          <w:p w14:paraId="3A2FC8D9" w14:textId="77777777" w:rsidR="006E4CBC" w:rsidRDefault="006E4CBC" w:rsidP="006E4CBC">
            <w:pPr>
              <w:jc w:val="both"/>
              <w:rPr>
                <w:rFonts w:asciiTheme="minorHAnsi" w:hAnsiTheme="minorHAnsi" w:cstheme="minorHAnsi"/>
                <w:b/>
                <w:bCs/>
              </w:rPr>
            </w:pPr>
          </w:p>
          <w:p w14:paraId="5638FA62" w14:textId="77777777" w:rsidR="006E4CBC" w:rsidRPr="008C6ED4" w:rsidRDefault="006E4CBC" w:rsidP="006E4CBC">
            <w:pPr>
              <w:jc w:val="both"/>
              <w:rPr>
                <w:rFonts w:asciiTheme="minorHAnsi" w:hAnsiTheme="minorHAnsi" w:cstheme="minorHAnsi"/>
                <w:b/>
                <w:bCs/>
              </w:rPr>
            </w:pPr>
            <w:r w:rsidRPr="008C6ED4">
              <w:rPr>
                <w:rFonts w:asciiTheme="minorHAnsi" w:hAnsiTheme="minorHAnsi" w:cstheme="minorHAnsi"/>
                <w:b/>
                <w:bCs/>
              </w:rPr>
              <w:t>Limitations</w:t>
            </w:r>
          </w:p>
          <w:p w14:paraId="62EA5B5D"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One shortcoming of the study is the cross-sectional design, as most primary studies assessed the predictors and the criterion at the same time. Therefore, it is unable to examine longitudinal relations between intelligence, motivation, and school achievement.</w:t>
            </w:r>
          </w:p>
          <w:p w14:paraId="3D03AAE2" w14:textId="6C787F89" w:rsidR="00702B9D" w:rsidRPr="0066365A" w:rsidRDefault="00702B9D" w:rsidP="00D21504">
            <w:pPr>
              <w:jc w:val="both"/>
              <w:rPr>
                <w:rFonts w:ascii="Cambria" w:hAnsi="Cambria"/>
                <w:color w:val="auto"/>
                <w:bdr w:val="none" w:sz="0" w:space="0" w:color="auto" w:frame="1"/>
                <w:shd w:val="clear" w:color="auto" w:fill="FFFFFF"/>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6071F449" w14:textId="64DFD6D4" w:rsidR="0066365A" w:rsidRPr="006E4CBC" w:rsidRDefault="006E4CBC" w:rsidP="0066365A">
            <w:pPr>
              <w:pStyle w:val="paragraph"/>
              <w:spacing w:before="0" w:beforeAutospacing="0" w:after="0" w:afterAutospacing="0"/>
              <w:textAlignment w:val="baseline"/>
              <w:rPr>
                <w:rFonts w:asciiTheme="minorHAnsi" w:hAnsiTheme="minorHAnsi" w:cstheme="minorHAnsi"/>
                <w:sz w:val="18"/>
                <w:szCs w:val="18"/>
              </w:rPr>
            </w:pPr>
            <w:r w:rsidRPr="006E4CBC">
              <w:rPr>
                <w:rFonts w:asciiTheme="minorHAnsi" w:hAnsiTheme="minorHAnsi" w:cstheme="minorHAnsi"/>
                <w:sz w:val="18"/>
                <w:szCs w:val="18"/>
              </w:rPr>
              <w:t xml:space="preserve">Kriegbaum, K., Becker, N., &amp; </w:t>
            </w:r>
            <w:proofErr w:type="spellStart"/>
            <w:r w:rsidRPr="006E4CBC">
              <w:rPr>
                <w:rFonts w:asciiTheme="minorHAnsi" w:hAnsiTheme="minorHAnsi" w:cstheme="minorHAnsi"/>
                <w:sz w:val="18"/>
                <w:szCs w:val="18"/>
              </w:rPr>
              <w:t>Spinath</w:t>
            </w:r>
            <w:proofErr w:type="spellEnd"/>
            <w:r w:rsidRPr="006E4CBC">
              <w:rPr>
                <w:rFonts w:asciiTheme="minorHAnsi" w:hAnsiTheme="minorHAnsi" w:cstheme="minorHAnsi"/>
                <w:sz w:val="18"/>
                <w:szCs w:val="18"/>
              </w:rPr>
              <w:t xml:space="preserve">, B. (2018) The Relative Importance of Intelligence and Motivation as Predictors of School Achievement: A meta-analysis. Educational Research Review. </w:t>
            </w:r>
            <w:hyperlink r:id="rId11" w:history="1">
              <w:r w:rsidRPr="006E4CBC">
                <w:rPr>
                  <w:rStyle w:val="Hyperlink"/>
                  <w:rFonts w:asciiTheme="minorHAnsi" w:hAnsiTheme="minorHAnsi" w:cstheme="minorHAnsi"/>
                  <w:sz w:val="18"/>
                  <w:szCs w:val="18"/>
                </w:rPr>
                <w:t>https://doi.org/10.1016/j.edurev.2018.10.001</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CEEBC72" w14:textId="77777777" w:rsidR="00573A77" w:rsidRDefault="00573A77" w:rsidP="00573A77">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Alex Quigley offers some insights into motivation and self-efficacy related to teacher expectations in his Confident Teacher blog.  The post can be found here:</w:t>
            </w:r>
          </w:p>
          <w:p w14:paraId="5DC03D0D" w14:textId="77777777" w:rsidR="00573A77" w:rsidRPr="0064731C" w:rsidRDefault="00573A77" w:rsidP="00573A77">
            <w:pPr>
              <w:pStyle w:val="xmsolistparagraph"/>
              <w:shd w:val="clear" w:color="auto" w:fill="FFFFFF"/>
              <w:spacing w:before="0" w:beforeAutospacing="0" w:after="0" w:afterAutospacing="0"/>
              <w:rPr>
                <w:rFonts w:ascii="Georgia" w:hAnsi="Georgia" w:cs="Calibri"/>
                <w:color w:val="201F1E"/>
              </w:rPr>
            </w:pPr>
            <w:hyperlink r:id="rId13" w:history="1">
              <w:r w:rsidRPr="00B173D9">
                <w:rPr>
                  <w:rStyle w:val="Hyperlink"/>
                  <w:rFonts w:ascii="Georgia" w:hAnsi="Georgia" w:cs="Calibri"/>
                </w:rPr>
                <w:t>https://www.theconfidentteacher.com/2015/04/pygmalion-effect-classroom/</w:t>
              </w:r>
            </w:hyperlink>
            <w:r>
              <w:rPr>
                <w:rFonts w:ascii="Georgia" w:hAnsi="Georgia" w:cs="Calibri"/>
                <w:color w:val="201F1E"/>
              </w:rPr>
              <w:t xml:space="preserve"> </w:t>
            </w:r>
          </w:p>
          <w:p w14:paraId="02295E43" w14:textId="0186D5EF"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00DCB95" w14:textId="77777777" w:rsidR="006E4CBC" w:rsidRPr="00191171" w:rsidRDefault="006E4CBC" w:rsidP="006E4CBC">
            <w:pPr>
              <w:pStyle w:val="ListParagraph"/>
              <w:numPr>
                <w:ilvl w:val="0"/>
                <w:numId w:val="17"/>
              </w:numPr>
              <w:spacing w:line="276" w:lineRule="auto"/>
              <w:contextualSpacing w:val="0"/>
              <w:rPr>
                <w:rFonts w:asciiTheme="minorHAnsi" w:hAnsiTheme="minorHAnsi" w:cstheme="minorHAnsi"/>
              </w:rPr>
            </w:pPr>
            <w:r w:rsidRPr="00191171">
              <w:rPr>
                <w:rFonts w:asciiTheme="minorHAnsi" w:hAnsiTheme="minorHAnsi" w:cstheme="minorHAnsi"/>
              </w:rPr>
              <w:t>Teacher expectations can affect pupil outcomes; setting goals that challenge and stretch pupils is essential.</w:t>
            </w:r>
          </w:p>
          <w:p w14:paraId="670F48BE" w14:textId="77777777" w:rsidR="00BC2ECD" w:rsidRPr="00BC2ECD" w:rsidRDefault="006E4CBC" w:rsidP="00BC2ECD">
            <w:pPr>
              <w:pStyle w:val="ListParagraph"/>
              <w:numPr>
                <w:ilvl w:val="0"/>
                <w:numId w:val="17"/>
              </w:numPr>
              <w:spacing w:line="276" w:lineRule="auto"/>
              <w:contextualSpacing w:val="0"/>
              <w:rPr>
                <w:rFonts w:ascii="Arial" w:hAnsi="Arial" w:cs="Arial"/>
              </w:rPr>
            </w:pPr>
            <w:r w:rsidRPr="00191171">
              <w:rPr>
                <w:rFonts w:asciiTheme="minorHAnsi" w:hAnsiTheme="minorHAnsi" w:cstheme="minorHAnsi"/>
              </w:rPr>
              <w:t>The ability to self-regulate one’s emotions affects pupils’ ability to learn, success in school and future lives.</w:t>
            </w:r>
          </w:p>
          <w:p w14:paraId="0E8F91D0" w14:textId="0CB06B41" w:rsidR="00BC2ECD" w:rsidRPr="00BC2ECD" w:rsidRDefault="00BC2ECD" w:rsidP="00BC2ECD">
            <w:pPr>
              <w:pStyle w:val="ListParagraph"/>
              <w:numPr>
                <w:ilvl w:val="0"/>
                <w:numId w:val="17"/>
              </w:numPr>
              <w:spacing w:line="276" w:lineRule="auto"/>
              <w:contextualSpacing w:val="0"/>
              <w:rPr>
                <w:rFonts w:ascii="Arial" w:hAnsi="Arial" w:cs="Arial"/>
              </w:rPr>
            </w:pPr>
            <w:r w:rsidRPr="00BC2ECD">
              <w:rPr>
                <w:sz w:val="24"/>
                <w:szCs w:val="24"/>
              </w:rPr>
              <w:t>Schools are legally required to promote FBV under the Prevent Duty and the Equality Act 2010. FBV encompass values like democracy, the rule of law, individual liberty, and mutual respect and tolerance of different beliefs.</w:t>
            </w:r>
          </w:p>
          <w:p w14:paraId="4E488AE5" w14:textId="2CC9E87C" w:rsidR="00BC2ECD" w:rsidRPr="006E4CBC" w:rsidRDefault="00BC2ECD" w:rsidP="009F3FF0">
            <w:pPr>
              <w:pStyle w:val="ListParagraph"/>
              <w:spacing w:line="276" w:lineRule="auto"/>
              <w:contextualSpacing w:val="0"/>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43ADCA00" w:rsidR="00C26EC1"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23CA102E" w:rsidR="00C26EC1" w:rsidRDefault="00BC2ECD" w:rsidP="006E4CBC">
            <w:pPr>
              <w:rPr>
                <w:rFonts w:ascii="Cambria" w:hAnsi="Cambria"/>
                <w:sz w:val="20"/>
                <w:szCs w:val="20"/>
              </w:rPr>
            </w:pPr>
            <w:r>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58E8B726"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08C4FE7" w14:textId="77777777" w:rsidR="006E4CBC" w:rsidRPr="00191171" w:rsidRDefault="006E4CBC" w:rsidP="006E4CBC">
            <w:pPr>
              <w:pStyle w:val="ListParagraph"/>
              <w:numPr>
                <w:ilvl w:val="0"/>
                <w:numId w:val="18"/>
              </w:numPr>
              <w:spacing w:line="276" w:lineRule="auto"/>
              <w:contextualSpacing w:val="0"/>
              <w:rPr>
                <w:rFonts w:asciiTheme="minorHAnsi" w:hAnsiTheme="minorHAnsi" w:cstheme="minorHAnsi"/>
              </w:rPr>
            </w:pPr>
            <w:r w:rsidRPr="00191171">
              <w:rPr>
                <w:rFonts w:asciiTheme="minorHAnsi" w:hAnsiTheme="minorHAnsi" w:cstheme="minorHAnsi"/>
              </w:rPr>
              <w:t>Respond consistently and decisively to pupil behaviour (inc. the use of rewards, praise and sanctions)</w:t>
            </w:r>
          </w:p>
          <w:p w14:paraId="01E231E1" w14:textId="77777777" w:rsidR="006E4CBC" w:rsidRPr="00191171" w:rsidRDefault="006E4CBC" w:rsidP="006E4CBC">
            <w:pPr>
              <w:pStyle w:val="ListParagraph"/>
              <w:numPr>
                <w:ilvl w:val="0"/>
                <w:numId w:val="18"/>
              </w:numPr>
              <w:spacing w:line="276" w:lineRule="auto"/>
              <w:contextualSpacing w:val="0"/>
              <w:rPr>
                <w:rFonts w:asciiTheme="minorHAnsi" w:hAnsiTheme="minorHAnsi" w:cstheme="minorHAnsi"/>
              </w:rPr>
            </w:pPr>
            <w:r w:rsidRPr="00191171">
              <w:rPr>
                <w:rFonts w:asciiTheme="minorHAnsi" w:hAnsiTheme="minorHAnsi" w:cstheme="minorHAnsi"/>
              </w:rPr>
              <w:t>Motivate pupils via the use of challenging content which builds towards pupils’ long-term goals and aspirations</w:t>
            </w:r>
          </w:p>
          <w:p w14:paraId="774DA492" w14:textId="5DA039DC" w:rsidR="0066365A" w:rsidRDefault="006E4CBC" w:rsidP="006E4CBC">
            <w:pPr>
              <w:pStyle w:val="ListParagraph"/>
              <w:numPr>
                <w:ilvl w:val="0"/>
                <w:numId w:val="18"/>
              </w:numPr>
              <w:spacing w:line="276" w:lineRule="auto"/>
              <w:contextualSpacing w:val="0"/>
              <w:rPr>
                <w:rFonts w:asciiTheme="minorHAnsi" w:hAnsiTheme="minorHAnsi" w:cstheme="minorHAnsi"/>
              </w:rPr>
            </w:pPr>
            <w:r w:rsidRPr="00191171">
              <w:rPr>
                <w:rFonts w:asciiTheme="minorHAnsi" w:hAnsiTheme="minorHAnsi" w:cstheme="minorHAnsi"/>
              </w:rPr>
              <w:t>Support pupils to journey from needing extrinsic motivation to being motivated to work intrinsically</w:t>
            </w:r>
          </w:p>
          <w:p w14:paraId="3437E904" w14:textId="72C70F2F" w:rsidR="0066365A" w:rsidRPr="00BC2ECD" w:rsidRDefault="0066365A" w:rsidP="009F3FF0">
            <w:pPr>
              <w:pStyle w:val="ListParagraph"/>
              <w:spacing w:line="276" w:lineRule="auto"/>
              <w:contextualSpacing w:val="0"/>
              <w:rPr>
                <w:rFonts w:asciiTheme="minorHAnsi" w:hAnsiTheme="minorHAnsi" w:cstheme="minorHAnsi"/>
              </w:rPr>
            </w:pP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76B7AB29" w14:textId="5BE4F3F2"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03E543CC" w14:textId="77777777" w:rsidR="0066365A" w:rsidRDefault="0066365A" w:rsidP="0066365A">
            <w:pPr>
              <w:rPr>
                <w:rFonts w:ascii="Cambria" w:hAnsi="Cambria"/>
                <w:sz w:val="20"/>
                <w:szCs w:val="20"/>
              </w:rPr>
            </w:pPr>
          </w:p>
          <w:p w14:paraId="5FF312F8" w14:textId="599E6ADE" w:rsidR="00BC2ECD" w:rsidRPr="00C26EC1" w:rsidRDefault="00BC2ECD"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186BE434" w14:textId="77777777" w:rsidR="006E4CBC" w:rsidRPr="00A9736C" w:rsidRDefault="006E4CBC" w:rsidP="006E4CBC">
            <w:pPr>
              <w:pStyle w:val="TableParagraph"/>
              <w:rPr>
                <w:rFonts w:asciiTheme="minorHAnsi" w:hAnsiTheme="minorHAnsi" w:cstheme="minorHAnsi"/>
                <w:i w:val="0"/>
                <w:iCs w:val="0"/>
              </w:rPr>
            </w:pPr>
            <w:r w:rsidRPr="00A9736C">
              <w:rPr>
                <w:rFonts w:asciiTheme="minorHAnsi" w:hAnsiTheme="minorHAnsi" w:cstheme="minorHAnsi"/>
                <w:i w:val="0"/>
                <w:iCs w:val="0"/>
              </w:rPr>
              <w:t xml:space="preserve">How does the </w:t>
            </w:r>
            <w:proofErr w:type="spellStart"/>
            <w:r w:rsidRPr="00A9736C">
              <w:rPr>
                <w:rFonts w:asciiTheme="minorHAnsi" w:hAnsiTheme="minorHAnsi" w:cstheme="minorHAnsi"/>
                <w:i w:val="0"/>
                <w:iCs w:val="0"/>
              </w:rPr>
              <w:t>behaviour</w:t>
            </w:r>
            <w:proofErr w:type="spellEnd"/>
            <w:r w:rsidRPr="00A9736C">
              <w:rPr>
                <w:rFonts w:asciiTheme="minorHAnsi" w:hAnsiTheme="minorHAnsi" w:cstheme="minorHAnsi"/>
                <w:i w:val="0"/>
                <w:iCs w:val="0"/>
              </w:rPr>
              <w:t xml:space="preserve"> policy in your school operate?  How well does it work? Are there exceptions? Does it reach all children? – If not, what adaptations might need to be made and why?</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05871C0D" w14:textId="77777777" w:rsidR="00A9736C" w:rsidRPr="00A9736C" w:rsidRDefault="00A9736C" w:rsidP="00A9736C">
            <w:pPr>
              <w:pStyle w:val="TableParagraph"/>
              <w:rPr>
                <w:rFonts w:asciiTheme="minorHAnsi" w:hAnsiTheme="minorHAnsi" w:cstheme="minorHAnsi"/>
                <w:i w:val="0"/>
                <w:iCs w:val="0"/>
              </w:rPr>
            </w:pPr>
            <w:r w:rsidRPr="00A9736C">
              <w:rPr>
                <w:rFonts w:asciiTheme="minorHAnsi" w:hAnsiTheme="minorHAnsi" w:cstheme="minorHAnsi"/>
                <w:i w:val="0"/>
                <w:iCs w:val="0"/>
              </w:rPr>
              <w:t xml:space="preserve">Based on your experiences and academic reading, what promotes high expectations and/or a high level of </w:t>
            </w:r>
            <w:proofErr w:type="spellStart"/>
            <w:r w:rsidRPr="00A9736C">
              <w:rPr>
                <w:rFonts w:asciiTheme="minorHAnsi" w:hAnsiTheme="minorHAnsi" w:cstheme="minorHAnsi"/>
                <w:i w:val="0"/>
                <w:iCs w:val="0"/>
              </w:rPr>
              <w:t>behaviour</w:t>
            </w:r>
            <w:proofErr w:type="spellEnd"/>
            <w:r w:rsidRPr="00A9736C">
              <w:rPr>
                <w:rFonts w:asciiTheme="minorHAnsi" w:hAnsiTheme="minorHAnsi" w:cstheme="minorHAnsi"/>
                <w:i w:val="0"/>
                <w:iCs w:val="0"/>
              </w:rPr>
              <w:t xml:space="preserve"> management?</w:t>
            </w: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5A7607A2" w14:textId="77777777"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r w:rsidRPr="00A9736C">
              <w:rPr>
                <w:rFonts w:asciiTheme="minorHAnsi" w:hAnsiTheme="minorHAnsi" w:cstheme="minorHAnsi"/>
              </w:rPr>
              <w:t>What are your areas of development with regards setting high expectations and managing behaviour?</w:t>
            </w: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CDB2291" w14:textId="77777777" w:rsidR="006E4CBC" w:rsidRPr="00CF5F64" w:rsidRDefault="006E4CBC" w:rsidP="00CF5F64">
            <w:pPr>
              <w:pBdr>
                <w:top w:val="nil"/>
                <w:left w:val="nil"/>
                <w:bottom w:val="nil"/>
                <w:right w:val="nil"/>
                <w:between w:val="nil"/>
              </w:pBdr>
              <w:jc w:val="both"/>
              <w:rPr>
                <w:rFonts w:ascii="Cambria" w:hAnsi="Cambria"/>
                <w:sz w:val="20"/>
                <w:szCs w:val="20"/>
              </w:rPr>
            </w:pPr>
          </w:p>
          <w:p w14:paraId="52369B8A" w14:textId="77777777" w:rsidR="0066365A" w:rsidRPr="00523D39" w:rsidRDefault="0066365A" w:rsidP="0066365A">
            <w:pPr>
              <w:pBdr>
                <w:top w:val="nil"/>
                <w:left w:val="nil"/>
                <w:bottom w:val="nil"/>
                <w:right w:val="nil"/>
                <w:between w:val="nil"/>
              </w:pBdr>
              <w:ind w:left="720"/>
              <w:jc w:val="both"/>
              <w:rPr>
                <w:rFonts w:ascii="Cambria" w:hAnsi="Cambria"/>
                <w:b/>
                <w:bCs/>
                <w:sz w:val="20"/>
                <w:szCs w:val="20"/>
              </w:rPr>
            </w:pPr>
          </w:p>
          <w:p w14:paraId="3AEDB71F" w14:textId="3DEE5AF5"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sidR="006E4CBC">
              <w:rPr>
                <w:rFonts w:ascii="Cambria" w:hAnsi="Cambria"/>
                <w:b/>
                <w:bCs/>
                <w:sz w:val="20"/>
                <w:szCs w:val="20"/>
              </w:rPr>
              <w:t>4</w:t>
            </w:r>
            <w:r w:rsidRPr="00523D39">
              <w:rPr>
                <w:rFonts w:ascii="Cambria" w:hAnsi="Cambria"/>
                <w:b/>
                <w:bCs/>
                <w:sz w:val="20"/>
                <w:szCs w:val="20"/>
              </w:rPr>
              <w:t>:</w:t>
            </w:r>
          </w:p>
          <w:p w14:paraId="1E47A83D" w14:textId="77777777" w:rsidR="006E4CBC" w:rsidRPr="00A9736C" w:rsidRDefault="006E4CBC" w:rsidP="006E4CBC">
            <w:pPr>
              <w:pStyle w:val="TableParagraph"/>
              <w:rPr>
                <w:rFonts w:asciiTheme="minorHAnsi" w:hAnsiTheme="minorHAnsi" w:cstheme="minorHAnsi"/>
                <w:i w:val="0"/>
                <w:iCs w:val="0"/>
              </w:rPr>
            </w:pPr>
            <w:r w:rsidRPr="00A9736C">
              <w:rPr>
                <w:rFonts w:asciiTheme="minorHAnsi" w:hAnsiTheme="minorHAnsi" w:cstheme="minorHAnsi"/>
                <w:i w:val="0"/>
                <w:iCs w:val="0"/>
              </w:rPr>
              <w:t>What impact will these developments have on the learning in your classroom?</w:t>
            </w:r>
          </w:p>
          <w:p w14:paraId="22BB80EE"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31E19D4"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07F9E625"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BCBA540"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9F3FF0">
              <w:rPr>
                <w:rFonts w:ascii="Cambria" w:hAnsi="Cambria" w:cs="Calibri"/>
                <w:b/>
                <w:bCs/>
                <w:color w:val="201F1E"/>
                <w:sz w:val="20"/>
                <w:szCs w:val="20"/>
              </w:rPr>
              <w:t>ies</w:t>
            </w:r>
            <w:r>
              <w:rPr>
                <w:rFonts w:ascii="Cambria" w:hAnsi="Cambria" w:cs="Calibri"/>
                <w:b/>
                <w:bCs/>
                <w:color w:val="201F1E"/>
                <w:sz w:val="20"/>
                <w:szCs w:val="20"/>
              </w:rPr>
              <w:t xml:space="preserve"> agree</w:t>
            </w:r>
            <w:r w:rsidR="009F3FF0">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573A77"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573A77"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573A77"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273A" w14:textId="77777777" w:rsidR="000F2D68" w:rsidRDefault="000F2D68" w:rsidP="00BB0205">
      <w:pPr>
        <w:spacing w:after="0" w:line="240" w:lineRule="auto"/>
      </w:pPr>
      <w:r>
        <w:separator/>
      </w:r>
    </w:p>
  </w:endnote>
  <w:endnote w:type="continuationSeparator" w:id="0">
    <w:p w14:paraId="4070D583" w14:textId="77777777" w:rsidR="000F2D68" w:rsidRDefault="000F2D68"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52CE" w14:textId="77777777" w:rsidR="000F2D68" w:rsidRDefault="000F2D68" w:rsidP="00BB0205">
      <w:pPr>
        <w:spacing w:after="0" w:line="240" w:lineRule="auto"/>
      </w:pPr>
      <w:r>
        <w:separator/>
      </w:r>
    </w:p>
  </w:footnote>
  <w:footnote w:type="continuationSeparator" w:id="0">
    <w:p w14:paraId="0BDEE8F3" w14:textId="77777777" w:rsidR="000F2D68" w:rsidRDefault="000F2D68"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7"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5"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7"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3"/>
  </w:num>
  <w:num w:numId="2" w16cid:durableId="745959156">
    <w:abstractNumId w:val="9"/>
  </w:num>
  <w:num w:numId="3" w16cid:durableId="365060952">
    <w:abstractNumId w:val="4"/>
  </w:num>
  <w:num w:numId="4" w16cid:durableId="970749666">
    <w:abstractNumId w:val="1"/>
  </w:num>
  <w:num w:numId="5" w16cid:durableId="375013857">
    <w:abstractNumId w:val="16"/>
  </w:num>
  <w:num w:numId="6" w16cid:durableId="995718178">
    <w:abstractNumId w:val="18"/>
  </w:num>
  <w:num w:numId="7" w16cid:durableId="208495139">
    <w:abstractNumId w:val="12"/>
  </w:num>
  <w:num w:numId="8" w16cid:durableId="681662471">
    <w:abstractNumId w:val="15"/>
  </w:num>
  <w:num w:numId="9" w16cid:durableId="769281397">
    <w:abstractNumId w:val="11"/>
  </w:num>
  <w:num w:numId="10" w16cid:durableId="1403983886">
    <w:abstractNumId w:val="17"/>
  </w:num>
  <w:num w:numId="11" w16cid:durableId="1087381121">
    <w:abstractNumId w:val="2"/>
  </w:num>
  <w:num w:numId="12" w16cid:durableId="129786804">
    <w:abstractNumId w:val="3"/>
  </w:num>
  <w:num w:numId="13" w16cid:durableId="1645425847">
    <w:abstractNumId w:val="0"/>
  </w:num>
  <w:num w:numId="14" w16cid:durableId="600911606">
    <w:abstractNumId w:val="14"/>
  </w:num>
  <w:num w:numId="15" w16cid:durableId="1593857607">
    <w:abstractNumId w:val="8"/>
  </w:num>
  <w:num w:numId="16" w16cid:durableId="1642465962">
    <w:abstractNumId w:val="10"/>
  </w:num>
  <w:num w:numId="17" w16cid:durableId="1424767617">
    <w:abstractNumId w:val="7"/>
  </w:num>
  <w:num w:numId="18" w16cid:durableId="976228493">
    <w:abstractNumId w:val="5"/>
  </w:num>
  <w:num w:numId="19" w16cid:durableId="36537511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2D68"/>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C24D8"/>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47F64"/>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3A77"/>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9F3FF0"/>
    <w:rsid w:val="00A00F62"/>
    <w:rsid w:val="00A166D0"/>
    <w:rsid w:val="00A27B4C"/>
    <w:rsid w:val="00A36B06"/>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D3FB4"/>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 w:type="character" w:styleId="CommentReference">
    <w:name w:val="annotation reference"/>
    <w:basedOn w:val="DefaultParagraphFont"/>
    <w:uiPriority w:val="99"/>
    <w:semiHidden/>
    <w:unhideWhenUsed/>
    <w:rsid w:val="00447F64"/>
    <w:rPr>
      <w:sz w:val="16"/>
      <w:szCs w:val="16"/>
    </w:rPr>
  </w:style>
  <w:style w:type="paragraph" w:styleId="CommentSubject">
    <w:name w:val="annotation subject"/>
    <w:basedOn w:val="CommentText"/>
    <w:next w:val="CommentText"/>
    <w:link w:val="CommentSubjectChar"/>
    <w:uiPriority w:val="99"/>
    <w:semiHidden/>
    <w:unhideWhenUsed/>
    <w:rsid w:val="00447F64"/>
    <w:pPr>
      <w:spacing w:after="160"/>
    </w:pPr>
    <w:rPr>
      <w:rFonts w:ascii="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447F64"/>
    <w:rPr>
      <w:rFonts w:ascii="Calibri" w:eastAsia="Calibri" w:hAnsi="Calibri" w:cs="Calibri"/>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confidentteacher.com/2015/04/pygmalion-effect-classro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edurev.2018.10.001"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3</cp:revision>
  <cp:lastPrinted>2023-05-18T14:08:00Z</cp:lastPrinted>
  <dcterms:created xsi:type="dcterms:W3CDTF">2024-02-01T12:25:00Z</dcterms:created>
  <dcterms:modified xsi:type="dcterms:W3CDTF">2024-02-01T12:26:00Z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