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77"/>
        <w:gridCol w:w="892"/>
        <w:gridCol w:w="1687"/>
        <w:gridCol w:w="1133"/>
        <w:gridCol w:w="554"/>
        <w:gridCol w:w="1717"/>
        <w:gridCol w:w="571"/>
        <w:gridCol w:w="1123"/>
        <w:gridCol w:w="1225"/>
        <w:gridCol w:w="704"/>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DC7887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5E75BD">
              <w:rPr>
                <w:rFonts w:ascii="Cambria" w:eastAsia="Georgia" w:hAnsi="Cambria" w:cs="Georgia"/>
                <w:b/>
                <w:color w:val="FFFFFF" w:themeColor="background1"/>
                <w:sz w:val="20"/>
                <w:szCs w:val="20"/>
              </w:rPr>
              <w:t>28</w:t>
            </w:r>
            <w:r w:rsidR="008D544D">
              <w:rPr>
                <w:rFonts w:ascii="Cambria" w:eastAsia="Georgia" w:hAnsi="Cambria" w:cs="Georgia"/>
                <w:b/>
                <w:color w:val="FFFFFF" w:themeColor="background1"/>
                <w:sz w:val="20"/>
                <w:szCs w:val="20"/>
              </w:rPr>
              <w:t>(Final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03E46D9" w:rsidR="004009A7" w:rsidRPr="00523D39" w:rsidRDefault="005E75B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2B8C081" w:rsidR="004009A7" w:rsidRPr="00523D39" w:rsidRDefault="00B9137B">
            <w:pPr>
              <w:jc w:val="both"/>
              <w:rPr>
                <w:rFonts w:ascii="Cambria" w:hAnsi="Cambria"/>
                <w:b/>
                <w:bCs/>
                <w:sz w:val="20"/>
                <w:szCs w:val="20"/>
              </w:rPr>
            </w:pPr>
            <w:r>
              <w:rPr>
                <w:rFonts w:ascii="Cambria" w:hAnsi="Cambria"/>
                <w:b/>
                <w:bCs/>
                <w:sz w:val="20"/>
                <w:szCs w:val="20"/>
              </w:rPr>
              <w:t xml:space="preserve">PGCE Secondary </w:t>
            </w:r>
            <w:r w:rsidR="00FE0823">
              <w:rPr>
                <w:rFonts w:ascii="Cambria" w:hAnsi="Cambria"/>
                <w:b/>
                <w:bCs/>
                <w:sz w:val="20"/>
                <w:szCs w:val="20"/>
              </w:rPr>
              <w:t>CS and IT</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1B463BF" w:rsidR="004009A7" w:rsidRPr="00523D39" w:rsidRDefault="005E75BD">
            <w:pPr>
              <w:jc w:val="both"/>
              <w:rPr>
                <w:rFonts w:ascii="Cambria" w:hAnsi="Cambria"/>
                <w:b/>
                <w:bCs/>
                <w:sz w:val="20"/>
                <w:szCs w:val="20"/>
              </w:rPr>
            </w:pPr>
            <w:r>
              <w:rPr>
                <w:rFonts w:ascii="Cambria" w:hAnsi="Cambria"/>
                <w:b/>
                <w:bCs/>
                <w:sz w:val="20"/>
                <w:szCs w:val="20"/>
              </w:rPr>
              <w:t>4/3/24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B9137B">
              <w:rPr>
                <w:rFonts w:ascii="Cambria" w:hAnsi="Cambria"/>
                <w:b/>
                <w:bCs/>
                <w:sz w:val="20"/>
                <w:szCs w:val="20"/>
                <w:highlight w:val="green"/>
              </w:rPr>
              <w:t>M</w:t>
            </w:r>
            <w:r w:rsidR="005113AE" w:rsidRPr="00B9137B">
              <w:rPr>
                <w:rFonts w:ascii="Cambria" w:hAnsi="Cambria"/>
                <w:b/>
                <w:bCs/>
                <w:sz w:val="20"/>
                <w:szCs w:val="20"/>
                <w:highlight w:val="green"/>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2D314173" w14:textId="40516004" w:rsidR="00FD2991" w:rsidRPr="00FE0823" w:rsidRDefault="00FD2991" w:rsidP="00FE0823">
            <w:pPr>
              <w:jc w:val="both"/>
              <w:rPr>
                <w:rFonts w:ascii="Cambria" w:hAnsi="Cambria" w:cstheme="minorHAnsi"/>
                <w:b/>
                <w:bCs/>
                <w:sz w:val="20"/>
                <w:szCs w:val="20"/>
              </w:rPr>
            </w:pPr>
            <w:r>
              <w:rPr>
                <w:rStyle w:val="xxxxtextrun"/>
                <w:rFonts w:asciiTheme="majorHAnsi" w:hAnsiTheme="majorHAnsi" w:cstheme="majorHAnsi"/>
                <w:b/>
                <w:bCs/>
              </w:rPr>
              <w:t>Summary</w:t>
            </w:r>
            <w:r>
              <w:rPr>
                <w:rStyle w:val="xxxxeop"/>
                <w:rFonts w:asciiTheme="majorHAnsi" w:hAnsiTheme="majorHAnsi" w:cstheme="majorHAnsi"/>
              </w:rPr>
              <w:t xml:space="preserve">: </w:t>
            </w:r>
            <w:r>
              <w:rPr>
                <w:rFonts w:asciiTheme="majorHAnsi" w:hAnsiTheme="majorHAnsi" w:cstheme="majorHAnsi"/>
                <w:color w:val="0D0D0D"/>
                <w:shd w:val="clear" w:color="auto" w:fill="FFFFFF"/>
              </w:rPr>
              <w:t>This research highlights concerns of the effectiveness of CPD in English schools and proposes using evidence-based research. It recommends sustained CPD duration, targeted follow-up, and participant-centred design. It also emphasises the significance of integrating subject specificity and pedagogic knowledge. Effective CPD could require external expertise, supportive leadership, clear learning goals, and collaboration. Teachers are urged to prioritise pupil oriented CPD and discuss the impact and effectiveness of the CPD together in a collegiate manor. This approach will facilitate meaningful professional growth and improve teaching quality.</w:t>
            </w:r>
          </w:p>
          <w:p w14:paraId="428E97F1" w14:textId="66C4167B" w:rsidR="00FD2991" w:rsidRDefault="00FD2991" w:rsidP="00FE0823">
            <w:pPr>
              <w:pStyle w:val="NormalWeb"/>
              <w:shd w:val="clear" w:color="auto" w:fill="FFFFFF"/>
              <w:rPr>
                <w:rFonts w:asciiTheme="majorHAnsi" w:hAnsiTheme="majorHAnsi" w:cstheme="majorHAnsi"/>
                <w:sz w:val="22"/>
                <w:szCs w:val="22"/>
              </w:rPr>
            </w:pPr>
            <w:r>
              <w:rPr>
                <w:rStyle w:val="xxxxtextrun"/>
                <w:rFonts w:asciiTheme="majorHAnsi" w:hAnsiTheme="majorHAnsi" w:cstheme="majorHAnsi"/>
                <w:b/>
                <w:bCs/>
                <w:color w:val="000000"/>
              </w:rPr>
              <w:t>Limitations</w:t>
            </w:r>
            <w:r>
              <w:rPr>
                <w:rStyle w:val="xxxxeop"/>
                <w:rFonts w:asciiTheme="majorHAnsi" w:hAnsiTheme="majorHAnsi" w:cstheme="majorHAnsi"/>
                <w:color w:val="000000"/>
              </w:rPr>
              <w:t xml:space="preserve">: The report acknowledges that due to the search criteria adopted it may have </w:t>
            </w:r>
            <w:r>
              <w:rPr>
                <w:rFonts w:asciiTheme="majorHAnsi" w:hAnsiTheme="majorHAnsi" w:cstheme="majorHAnsi"/>
                <w:color w:val="0D0D0D"/>
                <w:shd w:val="clear" w:color="auto" w:fill="FFFFFF"/>
              </w:rPr>
              <w:t>missed the most recent evidence published. The methodology, as detailed in Appendix 3, shows how the initial 980 reviews found were reduced to the nine reviews which are discussed in the report. The report also only included English language reviews.</w:t>
            </w:r>
          </w:p>
          <w:p w14:paraId="7367DF80" w14:textId="77777777" w:rsidR="00FD2991" w:rsidRDefault="00FD2991" w:rsidP="00FD2991">
            <w:pPr>
              <w:pStyle w:val="xxxxparagraph"/>
              <w:spacing w:before="0" w:beforeAutospacing="0" w:after="0" w:afterAutospacing="0"/>
              <w:textAlignment w:val="baseline"/>
              <w:rPr>
                <w:rFonts w:asciiTheme="majorHAnsi" w:hAnsiTheme="majorHAnsi" w:cstheme="majorHAnsi"/>
                <w:sz w:val="22"/>
                <w:szCs w:val="22"/>
              </w:rPr>
            </w:pPr>
            <w:r>
              <w:rPr>
                <w:rStyle w:val="xxxxtextrun"/>
                <w:rFonts w:asciiTheme="majorHAnsi" w:hAnsiTheme="majorHAnsi" w:cstheme="majorHAnsi"/>
                <w:b/>
                <w:bCs/>
                <w:color w:val="000000"/>
                <w:sz w:val="22"/>
                <w:szCs w:val="22"/>
              </w:rPr>
              <w:t>Reference</w:t>
            </w:r>
            <w:r>
              <w:rPr>
                <w:rStyle w:val="xxxxeop"/>
                <w:rFonts w:asciiTheme="majorHAnsi" w:hAnsiTheme="majorHAnsi" w:cstheme="majorHAnsi"/>
                <w:sz w:val="22"/>
                <w:szCs w:val="22"/>
              </w:rPr>
              <w:t xml:space="preserve">: </w:t>
            </w:r>
            <w:r>
              <w:rPr>
                <w:rFonts w:asciiTheme="majorHAnsi" w:hAnsiTheme="majorHAnsi" w:cstheme="majorHAnsi"/>
                <w:sz w:val="22"/>
                <w:szCs w:val="22"/>
              </w:rPr>
              <w:t xml:space="preserve">Cordingley, P., Higgins, S., Greany, T., Buckler, N., Coles-Jordan, D., Crisp, B., Saunders, L. and Coe, R., 2015. Developing Great Teaching: Lessons from the international reviews into effective professional development. </w:t>
            </w:r>
            <w:hyperlink r:id="rId11" w:history="1">
              <w:r>
                <w:rPr>
                  <w:rStyle w:val="Hyperlink"/>
                  <w:rFonts w:asciiTheme="majorHAnsi" w:hAnsiTheme="majorHAnsi" w:cstheme="majorHAnsi"/>
                  <w:sz w:val="22"/>
                  <w:szCs w:val="22"/>
                </w:rPr>
                <w:t>https://tdtrust.org/wp-content/uploads/2015/10/DGT-Full-report.pdf</w:t>
              </w:r>
            </w:hyperlink>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5C0E164F" w14:textId="77777777" w:rsidR="00FE0823" w:rsidRDefault="00FE0823" w:rsidP="00FE0823">
            <w:pPr>
              <w:rPr>
                <w:rFonts w:asciiTheme="majorHAnsi" w:hAnsiTheme="majorHAnsi" w:cstheme="majorHAnsi"/>
                <w:bCs/>
                <w:color w:val="auto"/>
                <w:sz w:val="24"/>
                <w:szCs w:val="24"/>
              </w:rPr>
            </w:pPr>
            <w:r>
              <w:rPr>
                <w:rFonts w:asciiTheme="majorHAnsi" w:hAnsiTheme="majorHAnsi" w:cstheme="majorHAnsi"/>
                <w:bCs/>
                <w:sz w:val="24"/>
                <w:szCs w:val="24"/>
              </w:rPr>
              <w:t xml:space="preserve">CPD courses for computing teachers can be found at: </w:t>
            </w:r>
          </w:p>
          <w:p w14:paraId="237AC757" w14:textId="77777777" w:rsidR="00FE0823" w:rsidRDefault="00FE0823" w:rsidP="00FE0823">
            <w:pPr>
              <w:pStyle w:val="ListParagraph"/>
              <w:numPr>
                <w:ilvl w:val="0"/>
                <w:numId w:val="8"/>
              </w:numPr>
              <w:spacing w:before="112" w:after="0" w:line="240" w:lineRule="auto"/>
              <w:contextualSpacing w:val="0"/>
              <w:rPr>
                <w:rFonts w:asciiTheme="minorHAnsi" w:hAnsiTheme="minorHAnsi" w:cstheme="minorHAnsi"/>
                <w:bCs/>
                <w:sz w:val="20"/>
                <w:szCs w:val="20"/>
              </w:rPr>
            </w:pPr>
            <w:hyperlink r:id="rId13" w:history="1">
              <w:r>
                <w:rPr>
                  <w:rStyle w:val="Hyperlink"/>
                  <w:rFonts w:asciiTheme="majorHAnsi" w:hAnsiTheme="majorHAnsi" w:cstheme="majorHAnsi"/>
                  <w:bCs/>
                  <w:sz w:val="24"/>
                  <w:szCs w:val="24"/>
                </w:rPr>
                <w:t>https://teachcomputing.org/courses</w:t>
              </w:r>
            </w:hyperlink>
          </w:p>
          <w:p w14:paraId="383E2B00" w14:textId="77777777" w:rsidR="00FE0823" w:rsidRDefault="00FE0823" w:rsidP="00FE0823">
            <w:pPr>
              <w:pStyle w:val="ListParagraph"/>
              <w:numPr>
                <w:ilvl w:val="0"/>
                <w:numId w:val="8"/>
              </w:numPr>
              <w:spacing w:before="112"/>
              <w:contextualSpacing w:val="0"/>
              <w:rPr>
                <w:rFonts w:asciiTheme="majorHAnsi" w:hAnsiTheme="majorHAnsi" w:cstheme="majorHAnsi"/>
                <w:bCs/>
                <w:sz w:val="24"/>
                <w:szCs w:val="24"/>
              </w:rPr>
            </w:pPr>
            <w:hyperlink r:id="rId14" w:history="1">
              <w:r>
                <w:rPr>
                  <w:rStyle w:val="Hyperlink"/>
                  <w:rFonts w:asciiTheme="majorHAnsi" w:hAnsiTheme="majorHAnsi" w:cstheme="majorHAnsi"/>
                  <w:bCs/>
                  <w:sz w:val="24"/>
                  <w:szCs w:val="24"/>
                </w:rPr>
                <w:t>https://www.stem.org.uk/secondary/cpd</w:t>
              </w:r>
            </w:hyperlink>
          </w:p>
          <w:p w14:paraId="44046309" w14:textId="77777777" w:rsidR="00FE0823" w:rsidRDefault="00FE0823" w:rsidP="00FE0823">
            <w:pPr>
              <w:pStyle w:val="ListParagraph"/>
              <w:numPr>
                <w:ilvl w:val="0"/>
                <w:numId w:val="8"/>
              </w:numPr>
              <w:spacing w:before="112"/>
              <w:contextualSpacing w:val="0"/>
              <w:rPr>
                <w:rFonts w:asciiTheme="majorHAnsi" w:hAnsiTheme="majorHAnsi" w:cstheme="majorHAnsi"/>
                <w:bCs/>
                <w:sz w:val="24"/>
                <w:szCs w:val="24"/>
              </w:rPr>
            </w:pPr>
            <w:hyperlink r:id="rId15" w:history="1">
              <w:r>
                <w:rPr>
                  <w:rStyle w:val="Hyperlink"/>
                  <w:rFonts w:asciiTheme="majorHAnsi" w:hAnsiTheme="majorHAnsi" w:cstheme="majorHAnsi"/>
                  <w:bCs/>
                  <w:sz w:val="24"/>
                  <w:szCs w:val="24"/>
                </w:rPr>
                <w:t>https://www.edgehill.ac.uk/departments/academic/education/secondary-and-further-education/subject-network-hub/computing/</w:t>
              </w:r>
            </w:hyperlink>
          </w:p>
          <w:p w14:paraId="02295E43" w14:textId="77777777" w:rsidR="00A262D6" w:rsidRPr="00523D39" w:rsidRDefault="00A262D6"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6F74E228" w14:textId="77777777" w:rsidR="00FE0823" w:rsidRDefault="00FE0823" w:rsidP="00FE0823">
            <w:pPr>
              <w:pStyle w:val="ListParagraph"/>
              <w:numPr>
                <w:ilvl w:val="0"/>
                <w:numId w:val="9"/>
              </w:numPr>
              <w:spacing w:before="112" w:after="0" w:line="240" w:lineRule="auto"/>
              <w:contextualSpacing w:val="0"/>
              <w:rPr>
                <w:rFonts w:asciiTheme="majorHAnsi" w:eastAsia="Tahoma" w:hAnsiTheme="majorHAnsi" w:cstheme="majorHAnsi"/>
                <w:color w:val="auto"/>
              </w:rPr>
            </w:pPr>
            <w:r>
              <w:rPr>
                <w:rFonts w:asciiTheme="majorHAnsi" w:hAnsiTheme="majorHAnsi" w:cstheme="majorHAnsi"/>
              </w:rPr>
              <w:t>Teachers have a responsibility to strengthen pedagogical and subject knowledge by participating in wider professional networks such as Computing at school, the NCCE and local networks such as CAS hubs.</w:t>
            </w:r>
          </w:p>
          <w:p w14:paraId="7214F9B6" w14:textId="77777777" w:rsidR="00FE0823" w:rsidRDefault="00FE0823" w:rsidP="00FE0823">
            <w:pPr>
              <w:pStyle w:val="ListParagraph"/>
              <w:numPr>
                <w:ilvl w:val="0"/>
                <w:numId w:val="9"/>
              </w:numPr>
              <w:spacing w:before="112"/>
              <w:contextualSpacing w:val="0"/>
              <w:rPr>
                <w:rFonts w:asciiTheme="majorHAnsi" w:hAnsiTheme="majorHAnsi" w:cstheme="majorHAnsi"/>
              </w:rPr>
            </w:pPr>
            <w:r>
              <w:rPr>
                <w:rFonts w:asciiTheme="majorHAnsi" w:hAnsiTheme="majorHAnsi" w:cstheme="majorHAnsi"/>
              </w:rPr>
              <w:lastRenderedPageBreak/>
              <w:t xml:space="preserve">Engaging and contributing to the wider life of a school is an important professional skill which impacts pupil experiences, widens aspirations, and provides opportunities to be a positive role model. </w:t>
            </w:r>
          </w:p>
          <w:p w14:paraId="29BCAB96" w14:textId="77777777" w:rsidR="00FE0823" w:rsidRDefault="00FE0823" w:rsidP="00FE0823">
            <w:pPr>
              <w:pStyle w:val="ListParagraph"/>
              <w:numPr>
                <w:ilvl w:val="0"/>
                <w:numId w:val="9"/>
              </w:numPr>
              <w:spacing w:before="112"/>
              <w:contextualSpacing w:val="0"/>
              <w:rPr>
                <w:rFonts w:asciiTheme="majorHAnsi" w:hAnsiTheme="majorHAnsi" w:cstheme="majorHAnsi"/>
              </w:rPr>
            </w:pPr>
            <w:r>
              <w:rPr>
                <w:rFonts w:asciiTheme="majorHAnsi" w:hAnsiTheme="majorHAnsi" w:cstheme="majorHAnsi"/>
              </w:rPr>
              <w:t>Regular professional reflection using a framework e.g., Gibbs (1988) can help teachers identify strengths and weaknesses, understand, and analyse the practical and affective components of their experiences and action plan for future personal development.</w:t>
            </w:r>
          </w:p>
          <w:p w14:paraId="4E488AE5" w14:textId="2476B4E3" w:rsidR="00A262D6" w:rsidRPr="00A262D6" w:rsidRDefault="00A262D6" w:rsidP="005E75BD">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5F4617A0" w14:textId="77777777" w:rsidR="00FE0823" w:rsidRDefault="00FE0823" w:rsidP="00FE0823">
            <w:pPr>
              <w:pStyle w:val="ListParagraph"/>
              <w:numPr>
                <w:ilvl w:val="0"/>
                <w:numId w:val="10"/>
              </w:numPr>
              <w:spacing w:before="112" w:after="0" w:line="240" w:lineRule="auto"/>
              <w:contextualSpacing w:val="0"/>
              <w:rPr>
                <w:rFonts w:asciiTheme="majorHAnsi" w:eastAsia="Tahoma" w:hAnsiTheme="majorHAnsi" w:cstheme="majorHAnsi"/>
                <w:color w:val="auto"/>
              </w:rPr>
            </w:pPr>
            <w:r>
              <w:rPr>
                <w:rFonts w:asciiTheme="majorHAnsi" w:hAnsiTheme="majorHAnsi" w:cstheme="majorHAnsi"/>
              </w:rPr>
              <w:t>Identify formal and informal CPD opportunities and begin to construct a personal learning network.</w:t>
            </w:r>
          </w:p>
          <w:p w14:paraId="1F052E24" w14:textId="77777777" w:rsidR="00FE0823" w:rsidRDefault="00FE0823" w:rsidP="00FE0823">
            <w:pPr>
              <w:pStyle w:val="ListParagraph"/>
              <w:numPr>
                <w:ilvl w:val="0"/>
                <w:numId w:val="10"/>
              </w:numPr>
              <w:spacing w:before="112"/>
              <w:contextualSpacing w:val="0"/>
              <w:rPr>
                <w:rFonts w:asciiTheme="majorHAnsi" w:hAnsiTheme="majorHAnsi" w:cstheme="majorHAnsi"/>
              </w:rPr>
            </w:pPr>
            <w:r>
              <w:rPr>
                <w:rFonts w:asciiTheme="majorHAnsi" w:hAnsiTheme="majorHAnsi" w:cstheme="majorHAnsi"/>
              </w:rPr>
              <w:t>Identify opportunities to be involved with the wider life of the school whilst maintaining a work-life balance.</w:t>
            </w:r>
          </w:p>
          <w:p w14:paraId="3437E904" w14:textId="24C7ECD4" w:rsidR="00CB44DE" w:rsidRPr="00FE0823" w:rsidRDefault="00FE0823" w:rsidP="00FE0823">
            <w:pPr>
              <w:pStyle w:val="ListParagraph"/>
              <w:numPr>
                <w:ilvl w:val="0"/>
                <w:numId w:val="10"/>
              </w:numPr>
              <w:rPr>
                <w:rFonts w:ascii="Cambria" w:hAnsi="Cambria"/>
                <w:b/>
                <w:bCs/>
                <w:sz w:val="20"/>
                <w:szCs w:val="20"/>
              </w:rPr>
            </w:pPr>
            <w:r w:rsidRPr="00FE0823">
              <w:rPr>
                <w:rFonts w:asciiTheme="majorHAnsi" w:hAnsiTheme="majorHAnsi" w:cstheme="majorHAnsi"/>
              </w:rPr>
              <w:t>Undertake professional reflection using a framework and plan actions for future development.</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576F305A" w14:textId="77777777" w:rsidR="00FE0823" w:rsidRPr="00FE0823" w:rsidRDefault="00FE0823" w:rsidP="00FE0823">
            <w:pPr>
              <w:pStyle w:val="ListParagraph"/>
              <w:numPr>
                <w:ilvl w:val="0"/>
                <w:numId w:val="11"/>
              </w:numPr>
              <w:spacing w:before="112"/>
              <w:contextualSpacing w:val="0"/>
              <w:rPr>
                <w:rFonts w:asciiTheme="majorHAnsi" w:eastAsia="Tahoma" w:hAnsiTheme="majorHAnsi" w:cstheme="majorHAnsi"/>
                <w:color w:val="auto"/>
              </w:rPr>
            </w:pPr>
            <w:r>
              <w:rPr>
                <w:rFonts w:asciiTheme="majorHAnsi" w:hAnsiTheme="majorHAnsi" w:cstheme="majorHAnsi"/>
              </w:rPr>
              <w:t>Beyond teaching your subject, how have you contributed to the wider school life and culture? What further opportunities in this area would you pursue in your consolidation placement?</w:t>
            </w:r>
          </w:p>
          <w:p w14:paraId="45685B40" w14:textId="77777777" w:rsidR="00FE0823" w:rsidRDefault="00FE0823" w:rsidP="00FE0823">
            <w:pPr>
              <w:pStyle w:val="ListParagraph"/>
              <w:spacing w:before="112" w:after="0" w:line="240" w:lineRule="auto"/>
              <w:ind w:left="360"/>
              <w:contextualSpacing w:val="0"/>
              <w:rPr>
                <w:rFonts w:asciiTheme="majorHAnsi" w:eastAsia="Tahoma" w:hAnsiTheme="majorHAnsi" w:cstheme="majorHAnsi"/>
                <w:color w:val="auto"/>
              </w:rPr>
            </w:pPr>
          </w:p>
          <w:p w14:paraId="11852BB5" w14:textId="5F9EDE49" w:rsidR="00CF7910" w:rsidRPr="00FE0823" w:rsidRDefault="00FE0823" w:rsidP="00FE0823">
            <w:pPr>
              <w:pStyle w:val="ListParagraph"/>
              <w:numPr>
                <w:ilvl w:val="0"/>
                <w:numId w:val="11"/>
              </w:numPr>
              <w:pBdr>
                <w:top w:val="nil"/>
                <w:left w:val="nil"/>
                <w:bottom w:val="nil"/>
                <w:right w:val="nil"/>
                <w:between w:val="nil"/>
              </w:pBdr>
              <w:jc w:val="both"/>
              <w:rPr>
                <w:rFonts w:ascii="Cambria" w:hAnsi="Cambria"/>
                <w:sz w:val="20"/>
                <w:szCs w:val="20"/>
              </w:rPr>
            </w:pPr>
            <w:r w:rsidRPr="00FE0823">
              <w:rPr>
                <w:rFonts w:asciiTheme="majorHAnsi" w:hAnsiTheme="majorHAnsi" w:cstheme="majorHAnsi"/>
              </w:rPr>
              <w:t>Describe how you’ve implemented computing education research into your practice.</w:t>
            </w: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490497" w:rsidRDefault="00E5003C" w:rsidP="00B5000E">
            <w:pPr>
              <w:pStyle w:val="xmsolistparagraph"/>
              <w:shd w:val="clear" w:color="auto" w:fill="FFFFFF"/>
              <w:spacing w:before="0" w:beforeAutospacing="0" w:after="0" w:afterAutospacing="0"/>
              <w:rPr>
                <w:rFonts w:asciiTheme="minorHAnsi" w:hAnsiTheme="minorHAnsi" w:cstheme="minorHAnsi"/>
                <w:color w:val="201F1E"/>
              </w:rPr>
            </w:pPr>
            <w:r w:rsidRPr="00490497">
              <w:rPr>
                <w:rFonts w:asciiTheme="minorHAnsi" w:hAnsiTheme="minorHAnsi" w:cstheme="minorHAnsi"/>
                <w:color w:val="201F1E"/>
              </w:rPr>
              <w:t>For example,</w:t>
            </w:r>
            <w:r w:rsidR="00AB1862" w:rsidRPr="00490497">
              <w:rPr>
                <w:rFonts w:asciiTheme="minorHAnsi" w:hAnsiTheme="minorHAnsi" w:cstheme="minorHAnsi"/>
                <w:color w:val="201F1E"/>
              </w:rPr>
              <w:t xml:space="preserve"> review of</w:t>
            </w:r>
            <w:r w:rsidRPr="00490497">
              <w:rPr>
                <w:rFonts w:asciiTheme="minorHAnsi" w:hAnsiTheme="minorHAnsi" w:cstheme="minorHAnsi"/>
                <w:color w:val="201F1E"/>
              </w:rPr>
              <w:t xml:space="preserve"> subject knowledge</w:t>
            </w:r>
            <w:r w:rsidR="00AB1862" w:rsidRPr="00490497">
              <w:rPr>
                <w:rFonts w:asciiTheme="minorHAnsi" w:hAnsiTheme="minorHAnsi" w:cstheme="minorHAnsi"/>
                <w:color w:val="201F1E"/>
              </w:rPr>
              <w:t xml:space="preserve">, </w:t>
            </w:r>
            <w:r w:rsidRPr="00490497">
              <w:rPr>
                <w:rFonts w:asciiTheme="minorHAnsi" w:hAnsiTheme="minorHAnsi" w:cstheme="minorHAnsi"/>
                <w:color w:val="201F1E"/>
              </w:rPr>
              <w:t>relevant CPD</w:t>
            </w:r>
            <w:r w:rsidR="00AB1862" w:rsidRPr="00490497">
              <w:rPr>
                <w:rFonts w:asciiTheme="minorHAnsi" w:hAnsiTheme="minorHAnsi" w:cstheme="minorHAnsi"/>
                <w:color w:val="201F1E"/>
              </w:rPr>
              <w:t>, arrangements for upcoming lesson observation, school/department events etc</w:t>
            </w:r>
            <w:r w:rsidR="00F83B94" w:rsidRPr="00490497">
              <w:rPr>
                <w:rFonts w:asciiTheme="minorHAnsi" w:hAnsiTheme="minorHAnsi" w:cstheme="minorHAnsi"/>
                <w:color w:val="201F1E"/>
              </w:rPr>
              <w:t>.</w:t>
            </w: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36981581" w:rsidR="002454C4" w:rsidRPr="00523D39" w:rsidRDefault="00A957DF" w:rsidP="002454C4">
            <w:pPr>
              <w:jc w:val="center"/>
              <w:rPr>
                <w:rFonts w:ascii="Cambria" w:hAnsi="Cambria"/>
                <w:b/>
                <w:bCs/>
                <w:sz w:val="20"/>
                <w:szCs w:val="20"/>
              </w:rPr>
            </w:pPr>
            <w:r w:rsidRPr="00A957DF">
              <w:rPr>
                <w:rFonts w:ascii="Cambria" w:hAnsi="Cambria"/>
                <w:b/>
                <w:bCs/>
                <w:sz w:val="20"/>
                <w:szCs w:val="20"/>
                <w:highlight w:val="yellow"/>
              </w:rPr>
              <w:t>Y</w:t>
            </w:r>
            <w:r>
              <w:rPr>
                <w:rFonts w:ascii="Cambria" w:hAnsi="Cambria"/>
                <w:b/>
                <w:bCs/>
                <w:sz w:val="20"/>
                <w:szCs w:val="20"/>
              </w:rPr>
              <w:t>/N</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777777" w:rsidR="002454C4" w:rsidRPr="00523D39" w:rsidRDefault="002454C4" w:rsidP="002454C4">
            <w:pPr>
              <w:jc w:val="center"/>
              <w:rPr>
                <w:rFonts w:ascii="Cambria" w:hAnsi="Cambria"/>
                <w:b/>
                <w:bCs/>
                <w:sz w:val="20"/>
                <w:szCs w:val="20"/>
              </w:rPr>
            </w:pPr>
            <w:r w:rsidRPr="00A957DF">
              <w:rPr>
                <w:rFonts w:ascii="Cambria" w:hAnsi="Cambria"/>
                <w:b/>
                <w:bCs/>
                <w:sz w:val="20"/>
                <w:szCs w:val="20"/>
                <w:highlight w:val="yellow"/>
              </w:rPr>
              <w:t>Y</w:t>
            </w:r>
            <w:r w:rsidRPr="00523D39">
              <w:rPr>
                <w:rFonts w:ascii="Cambria" w:hAnsi="Cambria"/>
                <w:b/>
                <w:bCs/>
                <w:sz w:val="20"/>
                <w:szCs w:val="20"/>
              </w:rPr>
              <w:t>/N</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3FC1303" w14:textId="77777777" w:rsidR="00490497" w:rsidRDefault="00A04213" w:rsidP="00490497">
            <w:pPr>
              <w:pStyle w:val="xmsolistparagraph"/>
              <w:shd w:val="clear" w:color="auto" w:fill="FFFFFF"/>
              <w:spacing w:before="0" w:beforeAutospacing="0" w:after="0" w:afterAutospacing="0"/>
              <w:ind w:left="360"/>
              <w:jc w:val="both"/>
              <w:rPr>
                <w:rFonts w:asciiTheme="minorHAnsi" w:hAnsiTheme="minorHAnsi" w:cstheme="minorHAnsi"/>
                <w:color w:val="FF0000"/>
                <w:sz w:val="22"/>
                <w:szCs w:val="22"/>
                <w:bdr w:val="none" w:sz="0" w:space="0" w:color="auto" w:frame="1"/>
              </w:rPr>
            </w:pPr>
            <w:r w:rsidRPr="00A04213">
              <w:rPr>
                <w:rFonts w:asciiTheme="minorHAnsi" w:hAnsiTheme="minorHAnsi" w:cstheme="minorHAnsi"/>
                <w:color w:val="FF0000"/>
                <w:sz w:val="22"/>
                <w:szCs w:val="22"/>
                <w:bdr w:val="none" w:sz="0" w:space="0" w:color="auto" w:frame="1"/>
              </w:rPr>
              <w:t>P</w:t>
            </w:r>
            <w:r w:rsidR="00A957DF" w:rsidRPr="00A04213">
              <w:rPr>
                <w:rFonts w:asciiTheme="minorHAnsi" w:hAnsiTheme="minorHAnsi" w:cstheme="minorHAnsi"/>
                <w:color w:val="FF0000"/>
                <w:sz w:val="22"/>
                <w:szCs w:val="22"/>
                <w:bdr w:val="none" w:sz="0" w:space="0" w:color="auto" w:frame="1"/>
              </w:rPr>
              <w:t xml:space="preserve">lease </w:t>
            </w:r>
            <w:r w:rsidRPr="00A04213">
              <w:rPr>
                <w:rFonts w:asciiTheme="minorHAnsi" w:hAnsiTheme="minorHAnsi" w:cstheme="minorHAnsi"/>
                <w:color w:val="FF0000"/>
                <w:sz w:val="22"/>
                <w:szCs w:val="22"/>
                <w:bdr w:val="none" w:sz="0" w:space="0" w:color="auto" w:frame="1"/>
              </w:rPr>
              <w:t xml:space="preserve">can you </w:t>
            </w:r>
            <w:r w:rsidR="00A957DF" w:rsidRPr="00A04213">
              <w:rPr>
                <w:rFonts w:asciiTheme="minorHAnsi" w:hAnsiTheme="minorHAnsi" w:cstheme="minorHAnsi"/>
                <w:color w:val="FF0000"/>
                <w:sz w:val="22"/>
                <w:szCs w:val="22"/>
                <w:bdr w:val="none" w:sz="0" w:space="0" w:color="auto" w:frame="1"/>
              </w:rPr>
              <w:t xml:space="preserve">set </w:t>
            </w:r>
            <w:r w:rsidR="00FE0823" w:rsidRPr="00A04213">
              <w:rPr>
                <w:rFonts w:asciiTheme="minorHAnsi" w:hAnsiTheme="minorHAnsi" w:cstheme="minorHAnsi"/>
                <w:color w:val="FF0000"/>
                <w:sz w:val="22"/>
                <w:szCs w:val="22"/>
                <w:bdr w:val="none" w:sz="0" w:space="0" w:color="auto" w:frame="1"/>
              </w:rPr>
              <w:t>three</w:t>
            </w:r>
            <w:r w:rsidR="00A957DF" w:rsidRPr="00A04213">
              <w:rPr>
                <w:rFonts w:asciiTheme="minorHAnsi" w:hAnsiTheme="minorHAnsi" w:cstheme="minorHAnsi"/>
                <w:color w:val="FF0000"/>
                <w:sz w:val="22"/>
                <w:szCs w:val="22"/>
                <w:bdr w:val="none" w:sz="0" w:space="0" w:color="auto" w:frame="1"/>
              </w:rPr>
              <w:t xml:space="preserve"> targets</w:t>
            </w:r>
            <w:r w:rsidR="00FE0823" w:rsidRPr="00A04213">
              <w:rPr>
                <w:rFonts w:asciiTheme="minorHAnsi" w:hAnsiTheme="minorHAnsi" w:cstheme="minorHAnsi"/>
                <w:color w:val="FF0000"/>
                <w:sz w:val="22"/>
                <w:szCs w:val="22"/>
                <w:bdr w:val="none" w:sz="0" w:space="0" w:color="auto" w:frame="1"/>
              </w:rPr>
              <w:t xml:space="preserve"> for the next phase of IT</w:t>
            </w:r>
            <w:r w:rsidRPr="00A04213">
              <w:rPr>
                <w:rFonts w:asciiTheme="minorHAnsi" w:hAnsiTheme="minorHAnsi" w:cstheme="minorHAnsi"/>
                <w:color w:val="FF0000"/>
                <w:sz w:val="22"/>
                <w:szCs w:val="22"/>
                <w:bdr w:val="none" w:sz="0" w:space="0" w:color="auto" w:frame="1"/>
              </w:rPr>
              <w:t xml:space="preserve">E. When identifying </w:t>
            </w:r>
            <w:proofErr w:type="gramStart"/>
            <w:r w:rsidRPr="00A04213">
              <w:rPr>
                <w:rFonts w:asciiTheme="minorHAnsi" w:hAnsiTheme="minorHAnsi" w:cstheme="minorHAnsi"/>
                <w:color w:val="FF0000"/>
                <w:sz w:val="22"/>
                <w:szCs w:val="22"/>
                <w:bdr w:val="none" w:sz="0" w:space="0" w:color="auto" w:frame="1"/>
              </w:rPr>
              <w:t>targets</w:t>
            </w:r>
            <w:proofErr w:type="gramEnd"/>
            <w:r w:rsidRPr="00A04213">
              <w:rPr>
                <w:rFonts w:asciiTheme="minorHAnsi" w:hAnsiTheme="minorHAnsi" w:cstheme="minorHAnsi"/>
                <w:color w:val="FF0000"/>
                <w:sz w:val="22"/>
                <w:szCs w:val="22"/>
                <w:bdr w:val="none" w:sz="0" w:space="0" w:color="auto" w:frame="1"/>
              </w:rPr>
              <w:t xml:space="preserve"> we would ask that you consider the following: </w:t>
            </w:r>
          </w:p>
          <w:p w14:paraId="67644C3D" w14:textId="77777777" w:rsidR="00490497" w:rsidRPr="00490497" w:rsidRDefault="00A04213" w:rsidP="00490497">
            <w:pPr>
              <w:pStyle w:val="xmsolistparagraph"/>
              <w:numPr>
                <w:ilvl w:val="0"/>
                <w:numId w:val="14"/>
              </w:numPr>
              <w:shd w:val="clear" w:color="auto" w:fill="FFFFFF"/>
              <w:spacing w:before="0" w:beforeAutospacing="0" w:after="0" w:afterAutospacing="0"/>
              <w:jc w:val="both"/>
              <w:rPr>
                <w:rFonts w:asciiTheme="minorHAnsi" w:hAnsiTheme="minorHAnsi" w:cstheme="minorHAnsi"/>
                <w:color w:val="FF0000"/>
                <w:sz w:val="22"/>
                <w:szCs w:val="22"/>
                <w:bdr w:val="none" w:sz="0" w:space="0" w:color="auto" w:frame="1"/>
              </w:rPr>
            </w:pPr>
            <w:r w:rsidRPr="00A04213">
              <w:rPr>
                <w:rFonts w:asciiTheme="minorHAnsi" w:hAnsiTheme="minorHAnsi" w:cstheme="minorHAnsi"/>
                <w:color w:val="FF0000"/>
                <w:sz w:val="22"/>
                <w:szCs w:val="22"/>
                <w:bdr w:val="none" w:sz="0" w:space="0" w:color="auto" w:frame="1"/>
              </w:rPr>
              <w:t xml:space="preserve">Subject specificity - </w:t>
            </w:r>
            <w:r w:rsidR="00FE0823" w:rsidRPr="00A04213">
              <w:rPr>
                <w:rFonts w:asciiTheme="minorHAnsi" w:hAnsiTheme="minorHAnsi" w:cstheme="minorHAnsi"/>
                <w:color w:val="FF0000"/>
                <w:sz w:val="22"/>
                <w:szCs w:val="22"/>
                <w:bdr w:val="none" w:sz="0" w:space="0" w:color="auto" w:frame="1"/>
              </w:rPr>
              <w:t>C</w:t>
            </w:r>
            <w:r w:rsidR="00FE0823" w:rsidRPr="00A04213">
              <w:rPr>
                <w:rFonts w:asciiTheme="minorHAnsi" w:hAnsiTheme="minorHAnsi" w:cstheme="minorHAnsi"/>
                <w:color w:val="FF0000"/>
                <w:sz w:val="22"/>
                <w:szCs w:val="22"/>
              </w:rPr>
              <w:t>omputing specific targets</w:t>
            </w:r>
            <w:r w:rsidR="00FE0823" w:rsidRPr="00A04213">
              <w:rPr>
                <w:rFonts w:asciiTheme="minorHAnsi" w:hAnsiTheme="minorHAnsi" w:cstheme="minorHAnsi"/>
                <w:color w:val="FF0000"/>
                <w:sz w:val="22"/>
                <w:szCs w:val="22"/>
              </w:rPr>
              <w:t xml:space="preserve"> can be found here: </w:t>
            </w:r>
            <w:hyperlink r:id="rId21" w:history="1">
              <w:r w:rsidR="00FE0823" w:rsidRPr="00A04213">
                <w:rPr>
                  <w:rStyle w:val="Hyperlink"/>
                  <w:rFonts w:asciiTheme="minorHAnsi" w:hAnsiTheme="minorHAnsi" w:cstheme="minorHAnsi"/>
                  <w:color w:val="FF0000"/>
                  <w:sz w:val="22"/>
                  <w:szCs w:val="22"/>
                </w:rPr>
                <w:t>targets link</w:t>
              </w:r>
            </w:hyperlink>
            <w:r w:rsidR="00FE0823" w:rsidRPr="00A04213">
              <w:rPr>
                <w:rFonts w:asciiTheme="minorHAnsi" w:hAnsiTheme="minorHAnsi" w:cstheme="minorHAnsi"/>
                <w:color w:val="FF0000"/>
                <w:sz w:val="22"/>
                <w:szCs w:val="22"/>
              </w:rPr>
              <w:t xml:space="preserve"> </w:t>
            </w:r>
          </w:p>
          <w:p w14:paraId="1D9761C6" w14:textId="36BE0991" w:rsidR="00FE0823" w:rsidRPr="00490497" w:rsidRDefault="00A04213" w:rsidP="00490497">
            <w:pPr>
              <w:pStyle w:val="xmsolistparagraph"/>
              <w:numPr>
                <w:ilvl w:val="0"/>
                <w:numId w:val="14"/>
              </w:numPr>
              <w:shd w:val="clear" w:color="auto" w:fill="FFFFFF"/>
              <w:spacing w:before="0" w:beforeAutospacing="0" w:after="0" w:afterAutospacing="0"/>
              <w:jc w:val="both"/>
              <w:rPr>
                <w:rFonts w:asciiTheme="minorHAnsi" w:hAnsiTheme="minorHAnsi" w:cstheme="minorHAnsi"/>
                <w:color w:val="FF0000"/>
                <w:sz w:val="22"/>
                <w:szCs w:val="22"/>
                <w:bdr w:val="none" w:sz="0" w:space="0" w:color="auto" w:frame="1"/>
              </w:rPr>
            </w:pPr>
            <w:r w:rsidRPr="00490497">
              <w:rPr>
                <w:rFonts w:asciiTheme="minorHAnsi" w:hAnsiTheme="minorHAnsi" w:cstheme="minorHAnsi"/>
                <w:color w:val="FF0000"/>
                <w:sz w:val="22"/>
                <w:szCs w:val="22"/>
              </w:rPr>
              <w:lastRenderedPageBreak/>
              <w:t>T</w:t>
            </w:r>
            <w:r w:rsidR="00FE0823" w:rsidRPr="00490497">
              <w:rPr>
                <w:rFonts w:asciiTheme="minorHAnsi" w:hAnsiTheme="minorHAnsi" w:cstheme="minorHAnsi"/>
                <w:color w:val="FF0000"/>
                <w:sz w:val="22"/>
                <w:szCs w:val="22"/>
              </w:rPr>
              <w:t>he</w:t>
            </w:r>
            <w:r w:rsidRPr="00490497">
              <w:rPr>
                <w:rFonts w:asciiTheme="minorHAnsi" w:hAnsiTheme="minorHAnsi" w:cstheme="minorHAnsi"/>
                <w:color w:val="FF0000"/>
                <w:sz w:val="22"/>
                <w:szCs w:val="22"/>
              </w:rPr>
              <w:t xml:space="preserve"> focus of the</w:t>
            </w:r>
            <w:r w:rsidR="00FE0823" w:rsidRPr="00490497">
              <w:rPr>
                <w:rFonts w:asciiTheme="minorHAnsi" w:hAnsiTheme="minorHAnsi" w:cstheme="minorHAnsi"/>
                <w:color w:val="FF0000"/>
                <w:sz w:val="22"/>
                <w:szCs w:val="22"/>
              </w:rPr>
              <w:t xml:space="preserve"> </w:t>
            </w:r>
            <w:hyperlink r:id="rId22" w:history="1">
              <w:r w:rsidR="00FE0823" w:rsidRPr="00490497">
                <w:rPr>
                  <w:rStyle w:val="Hyperlink"/>
                  <w:rFonts w:asciiTheme="minorHAnsi" w:hAnsiTheme="minorHAnsi" w:cstheme="minorHAnsi"/>
                  <w:color w:val="FF0000"/>
                  <w:sz w:val="22"/>
                  <w:szCs w:val="22"/>
                </w:rPr>
                <w:t>computing</w:t>
              </w:r>
              <w:r w:rsidR="00FE0823" w:rsidRPr="00490497">
                <w:rPr>
                  <w:rStyle w:val="Hyperlink"/>
                  <w:rFonts w:asciiTheme="minorHAnsi" w:hAnsiTheme="minorHAnsi" w:cstheme="minorHAnsi"/>
                  <w:color w:val="FF0000"/>
                  <w:sz w:val="22"/>
                  <w:szCs w:val="22"/>
                </w:rPr>
                <w:t xml:space="preserve"> curriculum</w:t>
              </w:r>
            </w:hyperlink>
            <w:r w:rsidR="00FE0823" w:rsidRPr="00490497">
              <w:rPr>
                <w:rFonts w:asciiTheme="minorHAnsi" w:hAnsiTheme="minorHAnsi" w:cstheme="minorHAnsi"/>
                <w:color w:val="FF0000"/>
                <w:sz w:val="22"/>
                <w:szCs w:val="22"/>
              </w:rPr>
              <w:t xml:space="preserve"> </w:t>
            </w:r>
            <w:r w:rsidR="00490497">
              <w:rPr>
                <w:rFonts w:asciiTheme="minorHAnsi" w:hAnsiTheme="minorHAnsi" w:cstheme="minorHAnsi"/>
                <w:color w:val="FF0000"/>
                <w:sz w:val="22"/>
                <w:szCs w:val="22"/>
              </w:rPr>
              <w:t>for the coming weeks</w:t>
            </w:r>
          </w:p>
          <w:p w14:paraId="2BE6518C" w14:textId="77777777" w:rsidR="00A04213" w:rsidRPr="00A04213" w:rsidRDefault="00A04213" w:rsidP="00490497">
            <w:pPr>
              <w:pStyle w:val="xmsolistparagraph"/>
              <w:numPr>
                <w:ilvl w:val="0"/>
                <w:numId w:val="14"/>
              </w:numPr>
              <w:shd w:val="clear" w:color="auto" w:fill="FFFFFF"/>
              <w:spacing w:before="0" w:beforeAutospacing="0" w:after="0" w:afterAutospacing="0"/>
              <w:jc w:val="both"/>
              <w:rPr>
                <w:rFonts w:asciiTheme="minorHAnsi" w:hAnsiTheme="minorHAnsi" w:cstheme="minorHAnsi"/>
                <w:color w:val="FF0000"/>
                <w:sz w:val="22"/>
                <w:szCs w:val="22"/>
              </w:rPr>
            </w:pPr>
            <w:r w:rsidRPr="00A04213">
              <w:rPr>
                <w:rFonts w:asciiTheme="minorHAnsi" w:hAnsiTheme="minorHAnsi" w:cstheme="minorHAnsi"/>
                <w:color w:val="FF0000"/>
                <w:sz w:val="22"/>
                <w:szCs w:val="22"/>
              </w:rPr>
              <w:t>The t</w:t>
            </w:r>
            <w:r w:rsidR="00FE0823" w:rsidRPr="00A04213">
              <w:rPr>
                <w:rFonts w:asciiTheme="minorHAnsi" w:hAnsiTheme="minorHAnsi" w:cstheme="minorHAnsi"/>
                <w:color w:val="FF0000"/>
                <w:sz w:val="22"/>
                <w:szCs w:val="22"/>
              </w:rPr>
              <w:t>rainee</w:t>
            </w:r>
            <w:r w:rsidRPr="00A04213">
              <w:rPr>
                <w:rFonts w:asciiTheme="minorHAnsi" w:hAnsiTheme="minorHAnsi" w:cstheme="minorHAnsi"/>
                <w:color w:val="FF0000"/>
                <w:sz w:val="22"/>
                <w:szCs w:val="22"/>
              </w:rPr>
              <w:t xml:space="preserve">’s subject knowledge audit </w:t>
            </w:r>
            <w:r w:rsidR="00FE0823" w:rsidRPr="00A04213">
              <w:rPr>
                <w:rFonts w:asciiTheme="minorHAnsi" w:hAnsiTheme="minorHAnsi" w:cstheme="minorHAnsi"/>
                <w:color w:val="FF0000"/>
                <w:sz w:val="22"/>
                <w:szCs w:val="22"/>
              </w:rPr>
              <w:t xml:space="preserve"> </w:t>
            </w:r>
          </w:p>
          <w:p w14:paraId="6C0807A5" w14:textId="77777777" w:rsidR="00A04213" w:rsidRPr="00A04213" w:rsidRDefault="00A04213" w:rsidP="00A04213">
            <w:pPr>
              <w:pStyle w:val="xmsolistparagraph"/>
              <w:shd w:val="clear" w:color="auto" w:fill="FFFFFF"/>
              <w:spacing w:before="0" w:beforeAutospacing="0" w:after="0" w:afterAutospacing="0"/>
              <w:ind w:left="360"/>
              <w:jc w:val="both"/>
              <w:rPr>
                <w:rFonts w:asciiTheme="minorHAnsi" w:hAnsiTheme="minorHAnsi" w:cstheme="minorHAnsi"/>
                <w:color w:val="FF0000"/>
                <w:sz w:val="22"/>
                <w:szCs w:val="22"/>
              </w:rPr>
            </w:pPr>
          </w:p>
          <w:p w14:paraId="387B2C1D" w14:textId="77777777" w:rsidR="00490497" w:rsidRDefault="00FE0823" w:rsidP="00490497">
            <w:pPr>
              <w:pStyle w:val="xmsolistparagraph"/>
              <w:shd w:val="clear" w:color="auto" w:fill="FFFFFF"/>
              <w:spacing w:before="0" w:beforeAutospacing="0" w:after="0" w:afterAutospacing="0"/>
              <w:ind w:left="360"/>
              <w:jc w:val="both"/>
              <w:rPr>
                <w:rFonts w:asciiTheme="minorHAnsi" w:hAnsiTheme="minorHAnsi" w:cstheme="minorHAnsi"/>
                <w:color w:val="FF0000"/>
                <w:sz w:val="22"/>
                <w:szCs w:val="22"/>
                <w:bdr w:val="none" w:sz="0" w:space="0" w:color="auto" w:frame="1"/>
              </w:rPr>
            </w:pPr>
            <w:r w:rsidRPr="00A04213">
              <w:rPr>
                <w:rFonts w:asciiTheme="minorHAnsi" w:hAnsiTheme="minorHAnsi" w:cstheme="minorHAnsi"/>
                <w:color w:val="FF0000"/>
                <w:sz w:val="22"/>
                <w:szCs w:val="22"/>
                <w:bdr w:val="none" w:sz="0" w:space="0" w:color="auto" w:frame="1"/>
              </w:rPr>
              <w:t xml:space="preserve">Please tick one of the boxes in the yellow section below to show progress. If the trainee is a YES with additional support or </w:t>
            </w:r>
            <w:proofErr w:type="gramStart"/>
            <w:r w:rsidRPr="00A04213">
              <w:rPr>
                <w:rFonts w:asciiTheme="minorHAnsi" w:hAnsiTheme="minorHAnsi" w:cstheme="minorHAnsi"/>
                <w:color w:val="FF0000"/>
                <w:sz w:val="22"/>
                <w:szCs w:val="22"/>
                <w:bdr w:val="none" w:sz="0" w:space="0" w:color="auto" w:frame="1"/>
              </w:rPr>
              <w:t>NO</w:t>
            </w:r>
            <w:proofErr w:type="gramEnd"/>
            <w:r w:rsidRPr="00A04213">
              <w:rPr>
                <w:rFonts w:asciiTheme="minorHAnsi" w:hAnsiTheme="minorHAnsi" w:cstheme="minorHAnsi"/>
                <w:color w:val="FF0000"/>
                <w:sz w:val="22"/>
                <w:szCs w:val="22"/>
                <w:bdr w:val="none" w:sz="0" w:space="0" w:color="auto" w:frame="1"/>
              </w:rPr>
              <w:t xml:space="preserve"> could you please email this to me directly, as well as the trainee uploading via InPlace:  </w:t>
            </w:r>
            <w:hyperlink r:id="rId23" w:history="1">
              <w:r w:rsidR="00490497" w:rsidRPr="004030DD">
                <w:rPr>
                  <w:rStyle w:val="Hyperlink"/>
                  <w:rFonts w:asciiTheme="minorHAnsi" w:hAnsiTheme="minorHAnsi" w:cstheme="minorHAnsi"/>
                  <w:sz w:val="22"/>
                  <w:szCs w:val="22"/>
                  <w:bdr w:val="none" w:sz="0" w:space="0" w:color="auto" w:frame="1"/>
                </w:rPr>
                <w:t>lookern@edgehill.ac.uk</w:t>
              </w:r>
            </w:hyperlink>
            <w:r w:rsidR="00490497">
              <w:rPr>
                <w:rFonts w:asciiTheme="minorHAnsi" w:hAnsiTheme="minorHAnsi" w:cstheme="minorHAnsi"/>
                <w:color w:val="FF0000"/>
                <w:sz w:val="22"/>
                <w:szCs w:val="22"/>
                <w:bdr w:val="none" w:sz="0" w:space="0" w:color="auto" w:frame="1"/>
              </w:rPr>
              <w:t xml:space="preserve"> </w:t>
            </w:r>
          </w:p>
          <w:p w14:paraId="1870FC23" w14:textId="77777777" w:rsidR="00490497" w:rsidRDefault="00490497" w:rsidP="00490497">
            <w:pPr>
              <w:pStyle w:val="xmsolistparagraph"/>
              <w:shd w:val="clear" w:color="auto" w:fill="FFFFFF"/>
              <w:spacing w:before="0" w:beforeAutospacing="0" w:after="0" w:afterAutospacing="0"/>
              <w:ind w:left="360"/>
              <w:jc w:val="both"/>
              <w:rPr>
                <w:rFonts w:asciiTheme="minorHAnsi" w:hAnsiTheme="minorHAnsi" w:cstheme="minorHAnsi"/>
                <w:color w:val="FF0000"/>
                <w:sz w:val="22"/>
                <w:szCs w:val="22"/>
                <w:bdr w:val="none" w:sz="0" w:space="0" w:color="auto" w:frame="1"/>
              </w:rPr>
            </w:pPr>
          </w:p>
          <w:p w14:paraId="41891F29" w14:textId="6858242F" w:rsidR="00A957DF" w:rsidRPr="00A04213" w:rsidRDefault="00A04213" w:rsidP="00490497">
            <w:pPr>
              <w:pStyle w:val="xmsolistparagraph"/>
              <w:shd w:val="clear" w:color="auto" w:fill="FFFFFF"/>
              <w:spacing w:before="0" w:beforeAutospacing="0" w:after="0" w:afterAutospacing="0"/>
              <w:ind w:left="360"/>
              <w:jc w:val="both"/>
              <w:rPr>
                <w:rFonts w:asciiTheme="minorHAnsi" w:hAnsiTheme="minorHAnsi" w:cstheme="minorHAnsi"/>
                <w:color w:val="FF0000"/>
                <w:sz w:val="22"/>
                <w:szCs w:val="22"/>
                <w:bdr w:val="none" w:sz="0" w:space="0" w:color="auto" w:frame="1"/>
              </w:rPr>
            </w:pPr>
            <w:r>
              <w:rPr>
                <w:rFonts w:asciiTheme="minorHAnsi" w:hAnsiTheme="minorHAnsi" w:cstheme="minorHAnsi"/>
                <w:color w:val="FF0000"/>
                <w:sz w:val="22"/>
                <w:szCs w:val="22"/>
                <w:bdr w:val="none" w:sz="0" w:space="0" w:color="auto" w:frame="1"/>
              </w:rPr>
              <w:t xml:space="preserve">Please delete this red text before </w:t>
            </w:r>
            <w:r w:rsidR="00490497">
              <w:rPr>
                <w:rFonts w:asciiTheme="minorHAnsi" w:hAnsiTheme="minorHAnsi" w:cstheme="minorHAnsi"/>
                <w:color w:val="FF0000"/>
                <w:sz w:val="22"/>
                <w:szCs w:val="22"/>
                <w:bdr w:val="none" w:sz="0" w:space="0" w:color="auto" w:frame="1"/>
              </w:rPr>
              <w:t>submission</w:t>
            </w:r>
          </w:p>
          <w:p w14:paraId="63F48ED6" w14:textId="6D823069" w:rsidR="00FE0823" w:rsidRPr="00A04213" w:rsidRDefault="00FE0823" w:rsidP="00A04213">
            <w:pPr>
              <w:pStyle w:val="xmsolistparagraph"/>
              <w:numPr>
                <w:ilvl w:val="0"/>
                <w:numId w:val="7"/>
              </w:numPr>
              <w:shd w:val="clear" w:color="auto" w:fill="FFFFFF"/>
              <w:spacing w:before="0" w:beforeAutospacing="0" w:after="0" w:afterAutospacing="0"/>
              <w:jc w:val="both"/>
              <w:rPr>
                <w:rFonts w:asciiTheme="minorHAnsi" w:hAnsiTheme="minorHAnsi" w:cstheme="minorHAnsi"/>
                <w:b/>
                <w:bCs/>
                <w:color w:val="FF0000"/>
                <w:sz w:val="22"/>
                <w:szCs w:val="22"/>
                <w:bdr w:val="none" w:sz="0" w:space="0" w:color="auto" w:frame="1"/>
              </w:rPr>
            </w:pPr>
          </w:p>
          <w:p w14:paraId="71D1D38F" w14:textId="2B299318" w:rsidR="005E75BD" w:rsidRPr="00A04213" w:rsidRDefault="005E75BD" w:rsidP="00A04213">
            <w:pPr>
              <w:pStyle w:val="xmsolistparagraph"/>
              <w:shd w:val="clear" w:color="auto" w:fill="FFFFFF"/>
              <w:spacing w:before="0" w:beforeAutospacing="0" w:after="0" w:afterAutospacing="0"/>
              <w:jc w:val="both"/>
              <w:rPr>
                <w:rFonts w:asciiTheme="minorHAnsi" w:hAnsiTheme="minorHAnsi" w:cstheme="minorHAnsi"/>
                <w:b/>
                <w:bCs/>
                <w:color w:val="FF0000"/>
                <w:sz w:val="22"/>
                <w:szCs w:val="22"/>
                <w:bdr w:val="none" w:sz="0" w:space="0" w:color="auto" w:frame="1"/>
              </w:rPr>
            </w:pP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171806A8" w:rsidR="002454C4" w:rsidRPr="00F83C7A" w:rsidRDefault="00367133" w:rsidP="002454C4">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367133"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367133"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2C1A19">
      <w:headerReference w:type="default" r:id="rId24"/>
      <w:footerReference w:type="defaul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937D" w14:textId="77777777" w:rsidR="002C1A19" w:rsidRDefault="002C1A19" w:rsidP="00BB0205">
      <w:pPr>
        <w:spacing w:after="0" w:line="240" w:lineRule="auto"/>
      </w:pPr>
      <w:r>
        <w:separator/>
      </w:r>
    </w:p>
  </w:endnote>
  <w:endnote w:type="continuationSeparator" w:id="0">
    <w:p w14:paraId="79D41844" w14:textId="77777777" w:rsidR="002C1A19" w:rsidRDefault="002C1A1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515F" w14:textId="77777777" w:rsidR="002C1A19" w:rsidRDefault="002C1A19" w:rsidP="00BB0205">
      <w:pPr>
        <w:spacing w:after="0" w:line="240" w:lineRule="auto"/>
      </w:pPr>
      <w:r>
        <w:separator/>
      </w:r>
    </w:p>
  </w:footnote>
  <w:footnote w:type="continuationSeparator" w:id="0">
    <w:p w14:paraId="36EAAC68" w14:textId="77777777" w:rsidR="002C1A19" w:rsidRDefault="002C1A1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1560"/>
    <w:multiLevelType w:val="hybridMultilevel"/>
    <w:tmpl w:val="5D8E8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5326BD"/>
    <w:multiLevelType w:val="hybridMultilevel"/>
    <w:tmpl w:val="626AD63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A08EF"/>
    <w:multiLevelType w:val="hybridMultilevel"/>
    <w:tmpl w:val="B4DE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710511"/>
    <w:multiLevelType w:val="hybridMultilevel"/>
    <w:tmpl w:val="2CFE7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5A3CCB"/>
    <w:multiLevelType w:val="hybridMultilevel"/>
    <w:tmpl w:val="2A18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E4515"/>
    <w:multiLevelType w:val="hybridMultilevel"/>
    <w:tmpl w:val="B61E4C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CCC3942"/>
    <w:multiLevelType w:val="hybridMultilevel"/>
    <w:tmpl w:val="6F347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D71508"/>
    <w:multiLevelType w:val="hybridMultilevel"/>
    <w:tmpl w:val="7FEE457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12" w15:restartNumberingAfterBreak="0">
    <w:nsid w:val="6FBE0E99"/>
    <w:multiLevelType w:val="hybridMultilevel"/>
    <w:tmpl w:val="B5E0EEB2"/>
    <w:lvl w:ilvl="0" w:tplc="3FD8A1C6">
      <w:start w:val="1"/>
      <w:numFmt w:val="decimal"/>
      <w:lvlText w:val="%1."/>
      <w:lvlJc w:val="left"/>
      <w:pPr>
        <w:ind w:left="360" w:hanging="360"/>
      </w:pPr>
      <w:rPr>
        <w:rFonts w:cs="Calibri" w:hint="default"/>
        <w:color w:val="201F1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0982005">
    <w:abstractNumId w:val="10"/>
  </w:num>
  <w:num w:numId="2" w16cid:durableId="745959156">
    <w:abstractNumId w:val="5"/>
  </w:num>
  <w:num w:numId="3" w16cid:durableId="365060952">
    <w:abstractNumId w:val="3"/>
  </w:num>
  <w:num w:numId="4" w16cid:durableId="970749666">
    <w:abstractNumId w:val="0"/>
  </w:num>
  <w:num w:numId="5" w16cid:durableId="1022585166">
    <w:abstractNumId w:val="4"/>
  </w:num>
  <w:num w:numId="6" w16cid:durableId="1758745248">
    <w:abstractNumId w:val="7"/>
  </w:num>
  <w:num w:numId="7" w16cid:durableId="2014215597">
    <w:abstractNumId w:val="12"/>
  </w:num>
  <w:num w:numId="8" w16cid:durableId="1667248880">
    <w:abstractNumId w:val="6"/>
    <w:lvlOverride w:ilvl="0"/>
    <w:lvlOverride w:ilvl="1"/>
    <w:lvlOverride w:ilvl="2"/>
    <w:lvlOverride w:ilvl="3"/>
    <w:lvlOverride w:ilvl="4"/>
    <w:lvlOverride w:ilvl="5"/>
    <w:lvlOverride w:ilvl="6"/>
    <w:lvlOverride w:ilvl="7"/>
    <w:lvlOverride w:ilvl="8"/>
  </w:num>
  <w:num w:numId="9" w16cid:durableId="992568272">
    <w:abstractNumId w:val="8"/>
  </w:num>
  <w:num w:numId="10" w16cid:durableId="1587378347">
    <w:abstractNumId w:val="2"/>
  </w:num>
  <w:num w:numId="11" w16cid:durableId="1990132852">
    <w:abstractNumId w:val="11"/>
  </w:num>
  <w:num w:numId="12" w16cid:durableId="1110274865">
    <w:abstractNumId w:val="11"/>
  </w:num>
  <w:num w:numId="13" w16cid:durableId="1017654742">
    <w:abstractNumId w:val="1"/>
    <w:lvlOverride w:ilvl="0"/>
    <w:lvlOverride w:ilvl="1"/>
    <w:lvlOverride w:ilvl="2"/>
    <w:lvlOverride w:ilvl="3"/>
    <w:lvlOverride w:ilvl="4"/>
    <w:lvlOverride w:ilvl="5"/>
    <w:lvlOverride w:ilvl="6"/>
    <w:lvlOverride w:ilvl="7"/>
    <w:lvlOverride w:ilvl="8"/>
  </w:num>
  <w:num w:numId="14" w16cid:durableId="22695941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C1A19"/>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A7696"/>
    <w:rsid w:val="003C0614"/>
    <w:rsid w:val="003C1D2B"/>
    <w:rsid w:val="003E7131"/>
    <w:rsid w:val="003F297E"/>
    <w:rsid w:val="004009A7"/>
    <w:rsid w:val="00402356"/>
    <w:rsid w:val="00403E3F"/>
    <w:rsid w:val="00446426"/>
    <w:rsid w:val="00464034"/>
    <w:rsid w:val="00470596"/>
    <w:rsid w:val="00485777"/>
    <w:rsid w:val="0049049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E75BD"/>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04213"/>
    <w:rsid w:val="00A166D0"/>
    <w:rsid w:val="00A262D6"/>
    <w:rsid w:val="00A27B4C"/>
    <w:rsid w:val="00A36B06"/>
    <w:rsid w:val="00A461C0"/>
    <w:rsid w:val="00A61137"/>
    <w:rsid w:val="00A7227A"/>
    <w:rsid w:val="00A771B9"/>
    <w:rsid w:val="00A92CA0"/>
    <w:rsid w:val="00A957DF"/>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9137B"/>
    <w:rsid w:val="00B963DE"/>
    <w:rsid w:val="00BA06A2"/>
    <w:rsid w:val="00BA12BC"/>
    <w:rsid w:val="00BA3E39"/>
    <w:rsid w:val="00BB0205"/>
    <w:rsid w:val="00BC2D67"/>
    <w:rsid w:val="00BD1645"/>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CF7910"/>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2991"/>
    <w:rsid w:val="00FD57B4"/>
    <w:rsid w:val="00FD6C80"/>
    <w:rsid w:val="00FE0823"/>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unhideWhenUsed/>
    <w:qFormat/>
    <w:rsid w:val="00A04213"/>
    <w:pPr>
      <w:spacing w:before="100" w:beforeAutospacing="1" w:after="100" w:afterAutospacing="1" w:line="240" w:lineRule="auto"/>
      <w:outlineLvl w:val="2"/>
    </w:pPr>
    <w:rPr>
      <w:rFonts w:eastAsiaTheme="minorHAnsi"/>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xxxxparagraph">
    <w:name w:val="xxxxparagraph"/>
    <w:basedOn w:val="Normal"/>
    <w:uiPriority w:val="99"/>
    <w:rsid w:val="00FD2991"/>
    <w:pPr>
      <w:spacing w:before="100" w:beforeAutospacing="1" w:after="100" w:afterAutospacing="1" w:line="240" w:lineRule="auto"/>
    </w:pPr>
    <w:rPr>
      <w:rFonts w:ascii="Aptos" w:eastAsiaTheme="minorHAnsi" w:hAnsi="Aptos" w:cs="Aptos"/>
      <w:color w:val="auto"/>
      <w:sz w:val="24"/>
      <w:szCs w:val="24"/>
    </w:rPr>
  </w:style>
  <w:style w:type="character" w:customStyle="1" w:styleId="xxxxtextrun">
    <w:name w:val="xxxxtextrun"/>
    <w:basedOn w:val="DefaultParagraphFont"/>
    <w:rsid w:val="00FD2991"/>
  </w:style>
  <w:style w:type="character" w:customStyle="1" w:styleId="xxxxeop">
    <w:name w:val="xxxxeop"/>
    <w:basedOn w:val="DefaultParagraphFont"/>
    <w:rsid w:val="00FD2991"/>
  </w:style>
  <w:style w:type="character" w:customStyle="1" w:styleId="Heading3Char">
    <w:name w:val="Heading 3 Char"/>
    <w:basedOn w:val="DefaultParagraphFont"/>
    <w:link w:val="Heading3"/>
    <w:uiPriority w:val="9"/>
    <w:rsid w:val="00A04213"/>
    <w:rPr>
      <w:rFonts w:ascii="Calibri" w:eastAsiaTheme="minorHAnsi" w:hAnsi="Calibri" w:cs="Calibr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1195125">
      <w:bodyDiv w:val="1"/>
      <w:marLeft w:val="0"/>
      <w:marRight w:val="0"/>
      <w:marTop w:val="0"/>
      <w:marBottom w:val="0"/>
      <w:divBdr>
        <w:top w:val="none" w:sz="0" w:space="0" w:color="auto"/>
        <w:left w:val="none" w:sz="0" w:space="0" w:color="auto"/>
        <w:bottom w:val="none" w:sz="0" w:space="0" w:color="auto"/>
        <w:right w:val="none" w:sz="0" w:space="0" w:color="auto"/>
      </w:divBdr>
    </w:div>
    <w:div w:id="163517965">
      <w:bodyDiv w:val="1"/>
      <w:marLeft w:val="0"/>
      <w:marRight w:val="0"/>
      <w:marTop w:val="0"/>
      <w:marBottom w:val="0"/>
      <w:divBdr>
        <w:top w:val="none" w:sz="0" w:space="0" w:color="auto"/>
        <w:left w:val="none" w:sz="0" w:space="0" w:color="auto"/>
        <w:bottom w:val="none" w:sz="0" w:space="0" w:color="auto"/>
        <w:right w:val="none" w:sz="0" w:space="0" w:color="auto"/>
      </w:divBdr>
    </w:div>
    <w:div w:id="723991362">
      <w:bodyDiv w:val="1"/>
      <w:marLeft w:val="0"/>
      <w:marRight w:val="0"/>
      <w:marTop w:val="0"/>
      <w:marBottom w:val="0"/>
      <w:divBdr>
        <w:top w:val="none" w:sz="0" w:space="0" w:color="auto"/>
        <w:left w:val="none" w:sz="0" w:space="0" w:color="auto"/>
        <w:bottom w:val="none" w:sz="0" w:space="0" w:color="auto"/>
        <w:right w:val="none" w:sz="0" w:space="0" w:color="auto"/>
      </w:divBdr>
    </w:div>
    <w:div w:id="882905128">
      <w:bodyDiv w:val="1"/>
      <w:marLeft w:val="0"/>
      <w:marRight w:val="0"/>
      <w:marTop w:val="0"/>
      <w:marBottom w:val="0"/>
      <w:divBdr>
        <w:top w:val="none" w:sz="0" w:space="0" w:color="auto"/>
        <w:left w:val="none" w:sz="0" w:space="0" w:color="auto"/>
        <w:bottom w:val="none" w:sz="0" w:space="0" w:color="auto"/>
        <w:right w:val="none" w:sz="0" w:space="0" w:color="auto"/>
      </w:divBdr>
    </w:div>
    <w:div w:id="110365080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78553950">
      <w:bodyDiv w:val="1"/>
      <w:marLeft w:val="0"/>
      <w:marRight w:val="0"/>
      <w:marTop w:val="0"/>
      <w:marBottom w:val="0"/>
      <w:divBdr>
        <w:top w:val="none" w:sz="0" w:space="0" w:color="auto"/>
        <w:left w:val="none" w:sz="0" w:space="0" w:color="auto"/>
        <w:bottom w:val="none" w:sz="0" w:space="0" w:color="auto"/>
        <w:right w:val="none" w:sz="0" w:space="0" w:color="auto"/>
      </w:divBdr>
    </w:div>
    <w:div w:id="183306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chcomputing.org/courses"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tes.edgehill.ac.uk/mentorspace/files/2023/08/Computing-Subject-Specific-Targets.pdf"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dtrust.org/wp-content/uploads/2015/10/DGT-Full-report.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dgehill.ac.uk/departments/academic/education/secondary-and-further-education/subject-network-hub/computing/" TargetMode="External"/><Relationship Id="rId23" Type="http://schemas.openxmlformats.org/officeDocument/2006/relationships/hyperlink" Target="mailto:lookern@edgehill.ac.uk"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em.org.uk/secondary/cpd" TargetMode="External"/><Relationship Id="rId22" Type="http://schemas.openxmlformats.org/officeDocument/2006/relationships/hyperlink" Target="https://www.edgehill.ac.uk/document/pgce-computer-science-and-it-curriculum-handbook-2023-2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purl.org/dc/dcmitype/"/>
    <ds:schemaRef ds:uri="http://purl.org/dc/terms/"/>
    <ds:schemaRef ds:uri="8ee62d43-67c2-4913-931b-05e153ab8ca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4b1df70-d14c-4519-a9bf-e775f0f4187c"/>
  </ds:schemaRefs>
</ds:datastoreItem>
</file>

<file path=customXml/itemProps3.xml><?xml version="1.0" encoding="utf-8"?>
<ds:datastoreItem xmlns:ds="http://schemas.openxmlformats.org/officeDocument/2006/customXml" ds:itemID="{D576E14C-8591-4A16-BEEB-0F6D67BFD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Nicola Looker (PGR)</cp:lastModifiedBy>
  <cp:revision>2</cp:revision>
  <cp:lastPrinted>2023-05-18T14:08:00Z</cp:lastPrinted>
  <dcterms:created xsi:type="dcterms:W3CDTF">2024-03-01T12:40:00Z</dcterms:created>
  <dcterms:modified xsi:type="dcterms:W3CDTF">2024-03-01T12:40:00Z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