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2"/>
        <w:gridCol w:w="896"/>
        <w:gridCol w:w="1681"/>
        <w:gridCol w:w="1129"/>
        <w:gridCol w:w="554"/>
        <w:gridCol w:w="1715"/>
        <w:gridCol w:w="571"/>
        <w:gridCol w:w="1121"/>
        <w:gridCol w:w="1230"/>
        <w:gridCol w:w="704"/>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DC7887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5E75BD">
              <w:rPr>
                <w:rFonts w:ascii="Cambria" w:eastAsia="Georgia" w:hAnsi="Cambria" w:cs="Georgia"/>
                <w:b/>
                <w:color w:val="FFFFFF" w:themeColor="background1"/>
                <w:sz w:val="20"/>
                <w:szCs w:val="20"/>
              </w:rPr>
              <w:t>28</w:t>
            </w:r>
            <w:r w:rsidR="008D544D">
              <w:rPr>
                <w:rFonts w:ascii="Cambria" w:eastAsia="Georgia" w:hAnsi="Cambria" w:cs="Georgia"/>
                <w:b/>
                <w:color w:val="FFFFFF" w:themeColor="background1"/>
                <w:sz w:val="20"/>
                <w:szCs w:val="20"/>
              </w:rPr>
              <w:t>(Final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03E46D9" w:rsidR="004009A7" w:rsidRPr="00523D39" w:rsidRDefault="005E75BD">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8215576" w:rsidR="004009A7" w:rsidRPr="00523D39" w:rsidRDefault="00B9137B">
            <w:pPr>
              <w:jc w:val="both"/>
              <w:rPr>
                <w:rFonts w:ascii="Cambria" w:hAnsi="Cambria"/>
                <w:b/>
                <w:bCs/>
                <w:sz w:val="20"/>
                <w:szCs w:val="20"/>
              </w:rPr>
            </w:pPr>
            <w:r>
              <w:rPr>
                <w:rFonts w:ascii="Cambria" w:hAnsi="Cambria"/>
                <w:b/>
                <w:bCs/>
                <w:sz w:val="20"/>
                <w:szCs w:val="20"/>
              </w:rPr>
              <w:t>PGCE Secondary Geography</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1B463BF" w:rsidR="004009A7" w:rsidRPr="00523D39" w:rsidRDefault="005E75BD">
            <w:pPr>
              <w:jc w:val="both"/>
              <w:rPr>
                <w:rFonts w:ascii="Cambria" w:hAnsi="Cambria"/>
                <w:b/>
                <w:bCs/>
                <w:sz w:val="20"/>
                <w:szCs w:val="20"/>
              </w:rPr>
            </w:pPr>
            <w:r>
              <w:rPr>
                <w:rFonts w:ascii="Cambria" w:hAnsi="Cambria"/>
                <w:b/>
                <w:bCs/>
                <w:sz w:val="20"/>
                <w:szCs w:val="20"/>
              </w:rPr>
              <w:t>4/3/24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B9137B">
              <w:rPr>
                <w:rFonts w:ascii="Cambria" w:hAnsi="Cambria"/>
                <w:b/>
                <w:bCs/>
                <w:sz w:val="20"/>
                <w:szCs w:val="20"/>
                <w:highlight w:val="green"/>
              </w:rPr>
              <w:t>M</w:t>
            </w:r>
            <w:r w:rsidR="005113AE" w:rsidRPr="00B9137B">
              <w:rPr>
                <w:rFonts w:ascii="Cambria" w:hAnsi="Cambria"/>
                <w:b/>
                <w:bCs/>
                <w:sz w:val="20"/>
                <w:szCs w:val="20"/>
                <w:highlight w:val="green"/>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Tuesday</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B9137B">
              <w:rPr>
                <w:rFonts w:ascii="Cambria" w:hAnsi="Cambria"/>
                <w:b/>
                <w:bCs/>
                <w:sz w:val="20"/>
                <w:szCs w:val="20"/>
                <w:highlight w:val="green"/>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0B3C53F2" w14:textId="77777777" w:rsidR="00A262D6" w:rsidRDefault="00A262D6" w:rsidP="00A262D6">
            <w:pPr>
              <w:jc w:val="both"/>
              <w:rPr>
                <w:rFonts w:ascii="Cambria" w:hAnsi="Cambria" w:cstheme="minorHAnsi"/>
                <w:b/>
                <w:bCs/>
                <w:sz w:val="20"/>
                <w:szCs w:val="20"/>
              </w:rPr>
            </w:pPr>
            <w:r w:rsidRPr="00523D39">
              <w:rPr>
                <w:rFonts w:ascii="Cambria" w:hAnsi="Cambria" w:cstheme="minorHAnsi"/>
                <w:b/>
                <w:bCs/>
                <w:sz w:val="20"/>
                <w:szCs w:val="20"/>
              </w:rPr>
              <w:t>Reference</w:t>
            </w:r>
          </w:p>
          <w:p w14:paraId="246D2FC6" w14:textId="77777777" w:rsidR="00A262D6" w:rsidRDefault="00A262D6" w:rsidP="00A262D6">
            <w:pPr>
              <w:jc w:val="both"/>
              <w:rPr>
                <w:rFonts w:ascii="Cambria" w:hAnsi="Cambria" w:cstheme="minorHAnsi"/>
                <w:b/>
                <w:bCs/>
                <w:sz w:val="20"/>
                <w:szCs w:val="20"/>
              </w:rPr>
            </w:pPr>
          </w:p>
          <w:p w14:paraId="7D2BFD66" w14:textId="2DB422C5" w:rsidR="005E75BD" w:rsidRDefault="005E75BD" w:rsidP="005E75BD">
            <w:pPr>
              <w:shd w:val="clear" w:color="auto" w:fill="FFFFFF"/>
              <w:rPr>
                <w:rFonts w:ascii="Aptos" w:eastAsia="Times New Roman" w:hAnsi="Aptos" w:cs="Segoe UI"/>
                <w:color w:val="333333"/>
                <w:sz w:val="24"/>
                <w:szCs w:val="24"/>
                <w:bdr w:val="none" w:sz="0" w:space="0" w:color="auto" w:frame="1"/>
              </w:rPr>
            </w:pPr>
            <w:hyperlink r:id="rId11" w:history="1">
              <w:r w:rsidRPr="007D5E3D">
                <w:rPr>
                  <w:rStyle w:val="Hyperlink"/>
                  <w:rFonts w:ascii="Aptos" w:eastAsia="Times New Roman" w:hAnsi="Aptos" w:cs="Segoe UI"/>
                  <w:sz w:val="24"/>
                  <w:szCs w:val="24"/>
                  <w:bdr w:val="none" w:sz="0" w:space="0" w:color="auto" w:frame="1"/>
                </w:rPr>
                <w:t>https://tdtrust.org/wp-content/uploads/2015/10/DGT-Full-report.pdf</w:t>
              </w:r>
            </w:hyperlink>
          </w:p>
          <w:p w14:paraId="3FF0947C" w14:textId="77777777" w:rsidR="005E75BD" w:rsidRPr="005E75BD" w:rsidRDefault="005E75BD" w:rsidP="005E75BD">
            <w:pPr>
              <w:shd w:val="clear" w:color="auto" w:fill="FFFFFF"/>
              <w:spacing w:after="0" w:line="240" w:lineRule="auto"/>
              <w:rPr>
                <w:rFonts w:ascii="Aptos" w:eastAsia="Times New Roman" w:hAnsi="Aptos" w:cs="Segoe UI"/>
                <w:color w:val="333333"/>
                <w:sz w:val="24"/>
                <w:szCs w:val="24"/>
                <w:bdr w:val="none" w:sz="0" w:space="0" w:color="auto" w:frame="1"/>
              </w:rPr>
            </w:pPr>
          </w:p>
          <w:p w14:paraId="1BA5278B" w14:textId="77777777" w:rsidR="005E75BD" w:rsidRPr="005E75BD" w:rsidRDefault="005E75BD" w:rsidP="005E75BD">
            <w:pPr>
              <w:shd w:val="clear" w:color="auto" w:fill="FFFFFF"/>
              <w:spacing w:after="0" w:line="240" w:lineRule="auto"/>
              <w:rPr>
                <w:rFonts w:ascii="Aptos" w:eastAsia="Times New Roman" w:hAnsi="Aptos" w:cs="Segoe UI"/>
                <w:color w:val="333333"/>
                <w:sz w:val="24"/>
                <w:szCs w:val="24"/>
                <w:bdr w:val="none" w:sz="0" w:space="0" w:color="auto" w:frame="1"/>
              </w:rPr>
            </w:pPr>
          </w:p>
          <w:p w14:paraId="29EAD225" w14:textId="77777777" w:rsidR="005E75BD" w:rsidRPr="005E75BD" w:rsidRDefault="005E75BD" w:rsidP="005E75BD">
            <w:pPr>
              <w:shd w:val="clear" w:color="auto" w:fill="FFFFFF"/>
              <w:spacing w:after="0" w:line="240" w:lineRule="auto"/>
              <w:rPr>
                <w:rFonts w:ascii="Aptos" w:eastAsia="Times New Roman" w:hAnsi="Aptos" w:cs="Segoe UI"/>
                <w:color w:val="333333"/>
                <w:sz w:val="24"/>
                <w:szCs w:val="24"/>
                <w:bdr w:val="none" w:sz="0" w:space="0" w:color="auto" w:frame="1"/>
              </w:rPr>
            </w:pPr>
            <w:r w:rsidRPr="005E75BD">
              <w:rPr>
                <w:rFonts w:ascii="Aptos" w:eastAsia="Times New Roman" w:hAnsi="Aptos" w:cs="Segoe UI"/>
                <w:color w:val="333333"/>
                <w:sz w:val="24"/>
                <w:szCs w:val="24"/>
                <w:bdr w:val="none" w:sz="0" w:space="0" w:color="auto" w:frame="1"/>
              </w:rPr>
              <w:t>This research highlights concerns of the effectiveness of CPD in English schools and proposes using evidence-based research. It recommends sustained CPD duration, targeted follow-up, and participant-centred design. It also emphasises the significance of integrating subject specificity and pedagogic knowledge. Effective CPD could require external expertise, supportive leadership, clear learning goals, and collaboration. Teachers are urged to prioritise pupil oriented CPD and discuss the impact and effectiveness of the CPD together in a collegiate manor. This approach will facilitate meaningful professional growth and improve teaching quality.</w:t>
            </w:r>
          </w:p>
          <w:p w14:paraId="308C9655" w14:textId="77777777" w:rsidR="005E75BD" w:rsidRPr="005E75BD" w:rsidRDefault="005E75BD" w:rsidP="005E75BD">
            <w:pPr>
              <w:shd w:val="clear" w:color="auto" w:fill="FFFFFF"/>
              <w:spacing w:after="0" w:line="240" w:lineRule="auto"/>
              <w:rPr>
                <w:rFonts w:ascii="Aptos" w:eastAsia="Times New Roman" w:hAnsi="Aptos" w:cs="Segoe UI"/>
                <w:color w:val="333333"/>
                <w:sz w:val="24"/>
                <w:szCs w:val="24"/>
                <w:bdr w:val="none" w:sz="0" w:space="0" w:color="auto" w:frame="1"/>
              </w:rPr>
            </w:pPr>
          </w:p>
          <w:p w14:paraId="7040DB7B" w14:textId="40B4F0FA" w:rsidR="00A262D6" w:rsidRPr="00BD1645" w:rsidRDefault="005E75BD" w:rsidP="00BD1645">
            <w:pPr>
              <w:rPr>
                <w:rFonts w:ascii="Cambria" w:hAnsi="Cambria" w:cstheme="minorHAnsi"/>
                <w:sz w:val="20"/>
                <w:szCs w:val="20"/>
              </w:rPr>
            </w:pPr>
            <w:r w:rsidRPr="005E75BD">
              <w:rPr>
                <w:rFonts w:ascii="Aptos" w:eastAsia="Times New Roman" w:hAnsi="Aptos" w:cs="Segoe UI"/>
                <w:color w:val="333333"/>
                <w:sz w:val="24"/>
                <w:szCs w:val="24"/>
                <w:bdr w:val="none" w:sz="0" w:space="0" w:color="auto" w:frame="1"/>
              </w:rPr>
              <w:t>Limitations – misses most recent evidence published. Also, the scope of research was taken exclusively from English language reviews. The research adopted a medical approach to research rather than an educational one.</w:t>
            </w: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7A67D8E1" w14:textId="77C5A0B2" w:rsidR="005E75BD" w:rsidRPr="005E75BD" w:rsidRDefault="005E75BD" w:rsidP="005E75BD">
            <w:pPr>
              <w:pStyle w:val="xmsolistparagraph"/>
              <w:shd w:val="clear" w:color="auto" w:fill="FFFFFF"/>
              <w:spacing w:after="0"/>
              <w:rPr>
                <w:rFonts w:ascii="Cambria" w:hAnsi="Cambria" w:cs="Calibri"/>
                <w:color w:val="201F1E"/>
                <w:sz w:val="20"/>
                <w:szCs w:val="20"/>
              </w:rPr>
            </w:pPr>
            <w:r w:rsidRPr="005E75BD">
              <w:rPr>
                <w:rFonts w:ascii="Cambria" w:hAnsi="Cambria" w:cs="Calibri"/>
                <w:color w:val="201F1E"/>
                <w:sz w:val="20"/>
                <w:szCs w:val="20"/>
              </w:rPr>
              <w:t>Have a read through some of the CPD opportunities that the Geographical Association offers. The Learning passport is an especially good idea</w:t>
            </w:r>
            <w:r>
              <w:rPr>
                <w:rFonts w:ascii="Cambria" w:hAnsi="Cambria" w:cs="Calibri"/>
                <w:color w:val="201F1E"/>
                <w:sz w:val="20"/>
                <w:szCs w:val="20"/>
              </w:rPr>
              <w:t>.</w:t>
            </w:r>
          </w:p>
          <w:p w14:paraId="57262FF3" w14:textId="69C77352" w:rsidR="005E75BD" w:rsidRPr="005E75BD" w:rsidRDefault="005E75BD" w:rsidP="005E75BD">
            <w:pPr>
              <w:pStyle w:val="xmsolistparagraph"/>
              <w:shd w:val="clear" w:color="auto" w:fill="FFFFFF"/>
              <w:spacing w:after="0"/>
              <w:rPr>
                <w:rFonts w:ascii="Cambria" w:hAnsi="Cambria" w:cs="Calibri"/>
                <w:color w:val="201F1E"/>
                <w:sz w:val="20"/>
                <w:szCs w:val="20"/>
              </w:rPr>
            </w:pPr>
            <w:hyperlink r:id="rId13" w:history="1">
              <w:r w:rsidRPr="007D5E3D">
                <w:rPr>
                  <w:rStyle w:val="Hyperlink"/>
                  <w:rFonts w:ascii="Cambria" w:hAnsi="Cambria" w:cs="Calibri"/>
                  <w:sz w:val="20"/>
                  <w:szCs w:val="20"/>
                </w:rPr>
                <w:t>https://geography.org.uk/curriculum-support/projects/project-archive/global-learning-programme/subject-knowledge-and-cpd/</w:t>
              </w:r>
            </w:hyperlink>
          </w:p>
          <w:p w14:paraId="6D36F2B2" w14:textId="0E5C1514" w:rsidR="00A262D6" w:rsidRDefault="005E75BD" w:rsidP="005E75BD">
            <w:pPr>
              <w:jc w:val="both"/>
              <w:rPr>
                <w:rFonts w:ascii="Cambria" w:hAnsi="Cambria"/>
                <w:color w:val="201F1E"/>
                <w:sz w:val="20"/>
                <w:szCs w:val="20"/>
              </w:rPr>
            </w:pPr>
            <w:hyperlink r:id="rId14" w:history="1">
              <w:r w:rsidRPr="007D5E3D">
                <w:rPr>
                  <w:rStyle w:val="Hyperlink"/>
                  <w:rFonts w:ascii="Cambria" w:hAnsi="Cambria"/>
                  <w:sz w:val="20"/>
                  <w:szCs w:val="20"/>
                </w:rPr>
                <w:t>https://geography.org.uk/The-GA-Professional-Passport/</w:t>
              </w:r>
            </w:hyperlink>
          </w:p>
          <w:p w14:paraId="02295E43" w14:textId="77777777" w:rsidR="00A262D6" w:rsidRPr="00523D39" w:rsidRDefault="00A262D6"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1A8CC640" w14:textId="77777777" w:rsidR="005E75BD" w:rsidRPr="005E75BD" w:rsidRDefault="005E75BD" w:rsidP="005E75BD">
            <w:pPr>
              <w:pStyle w:val="ListParagraph"/>
              <w:numPr>
                <w:ilvl w:val="0"/>
                <w:numId w:val="5"/>
              </w:numPr>
              <w:spacing w:after="0" w:line="240" w:lineRule="auto"/>
              <w:rPr>
                <w:rFonts w:ascii="Cambria" w:hAnsi="Cambria"/>
                <w:b/>
                <w:bCs/>
                <w:sz w:val="20"/>
                <w:szCs w:val="20"/>
                <w:shd w:val="clear" w:color="auto" w:fill="FFFFFF"/>
              </w:rPr>
            </w:pPr>
            <w:r w:rsidRPr="005E75BD">
              <w:rPr>
                <w:rFonts w:ascii="Cambria" w:hAnsi="Cambria"/>
                <w:b/>
                <w:bCs/>
                <w:sz w:val="20"/>
                <w:szCs w:val="20"/>
                <w:shd w:val="clear" w:color="auto" w:fill="FFFFFF"/>
              </w:rPr>
              <w:t>Teachers have a responsibility to strengthen pedagogical and subject knowledge by participating in wider networks such as Geographical Association.</w:t>
            </w:r>
          </w:p>
          <w:p w14:paraId="259E5161" w14:textId="77777777" w:rsidR="005E75BD" w:rsidRPr="005E75BD" w:rsidRDefault="005E75BD" w:rsidP="005E75BD">
            <w:pPr>
              <w:pStyle w:val="ListParagraph"/>
              <w:numPr>
                <w:ilvl w:val="0"/>
                <w:numId w:val="5"/>
              </w:numPr>
              <w:spacing w:after="0" w:line="240" w:lineRule="auto"/>
              <w:rPr>
                <w:rFonts w:ascii="Cambria" w:hAnsi="Cambria"/>
                <w:b/>
                <w:bCs/>
                <w:sz w:val="20"/>
                <w:szCs w:val="20"/>
                <w:shd w:val="clear" w:color="auto" w:fill="FFFFFF"/>
              </w:rPr>
            </w:pPr>
            <w:r w:rsidRPr="005E75BD">
              <w:rPr>
                <w:rFonts w:ascii="Cambria" w:hAnsi="Cambria"/>
                <w:b/>
                <w:bCs/>
                <w:sz w:val="20"/>
                <w:szCs w:val="20"/>
                <w:shd w:val="clear" w:color="auto" w:fill="FFFFFF"/>
              </w:rPr>
              <w:t xml:space="preserve">Educational research informs practice. </w:t>
            </w:r>
          </w:p>
          <w:p w14:paraId="45A4BEB2" w14:textId="77777777" w:rsidR="005E75BD" w:rsidRPr="005E75BD" w:rsidRDefault="005E75BD" w:rsidP="005E75BD">
            <w:pPr>
              <w:pStyle w:val="ListParagraph"/>
              <w:numPr>
                <w:ilvl w:val="0"/>
                <w:numId w:val="5"/>
              </w:numPr>
              <w:spacing w:after="0" w:line="240" w:lineRule="auto"/>
              <w:rPr>
                <w:rFonts w:ascii="Cambria" w:hAnsi="Cambria"/>
                <w:b/>
                <w:bCs/>
                <w:sz w:val="20"/>
                <w:szCs w:val="20"/>
                <w:shd w:val="clear" w:color="auto" w:fill="FFFFFF"/>
              </w:rPr>
            </w:pPr>
            <w:r w:rsidRPr="005E75BD">
              <w:rPr>
                <w:rFonts w:ascii="Cambria" w:hAnsi="Cambria"/>
                <w:b/>
                <w:bCs/>
                <w:sz w:val="20"/>
                <w:szCs w:val="20"/>
                <w:shd w:val="clear" w:color="auto" w:fill="FFFFFF"/>
              </w:rPr>
              <w:t>Teachers understand the importance of being secure in their subject knowledge.</w:t>
            </w:r>
          </w:p>
          <w:p w14:paraId="4E488AE5" w14:textId="2476B4E3" w:rsidR="00A262D6" w:rsidRPr="00A262D6" w:rsidRDefault="00A262D6" w:rsidP="005E75BD">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059943C7" w14:textId="77777777" w:rsidR="005E75BD" w:rsidRPr="005E75BD" w:rsidRDefault="005E75BD" w:rsidP="005E75BD">
            <w:pPr>
              <w:pStyle w:val="ListParagraph"/>
              <w:numPr>
                <w:ilvl w:val="0"/>
                <w:numId w:val="5"/>
              </w:numPr>
              <w:spacing w:after="0" w:line="240" w:lineRule="auto"/>
              <w:rPr>
                <w:rFonts w:ascii="Cambria" w:hAnsi="Cambria"/>
                <w:b/>
                <w:bCs/>
                <w:sz w:val="20"/>
                <w:szCs w:val="20"/>
              </w:rPr>
            </w:pPr>
            <w:r w:rsidRPr="005E75BD">
              <w:rPr>
                <w:rFonts w:ascii="Cambria" w:hAnsi="Cambria"/>
                <w:b/>
                <w:bCs/>
                <w:sz w:val="20"/>
                <w:szCs w:val="20"/>
              </w:rPr>
              <w:t xml:space="preserve">Explain the essential concepts, knowledge, skills and principles of Geography. </w:t>
            </w:r>
          </w:p>
          <w:p w14:paraId="63C9DB31" w14:textId="77777777" w:rsidR="005E75BD" w:rsidRPr="005E75BD" w:rsidRDefault="005E75BD" w:rsidP="005E75BD">
            <w:pPr>
              <w:pStyle w:val="ListParagraph"/>
              <w:numPr>
                <w:ilvl w:val="0"/>
                <w:numId w:val="5"/>
              </w:numPr>
              <w:spacing w:after="0" w:line="240" w:lineRule="auto"/>
              <w:rPr>
                <w:rFonts w:ascii="Cambria" w:hAnsi="Cambria"/>
                <w:b/>
                <w:bCs/>
                <w:sz w:val="20"/>
                <w:szCs w:val="20"/>
              </w:rPr>
            </w:pPr>
            <w:r w:rsidRPr="005E75BD">
              <w:rPr>
                <w:rFonts w:ascii="Cambria" w:hAnsi="Cambria"/>
                <w:b/>
                <w:bCs/>
                <w:sz w:val="20"/>
                <w:szCs w:val="20"/>
              </w:rPr>
              <w:t>Describe and exemplify how expert colleagues ensure pupils’ thinking is focused on key ideas within Geography and deconstructing this approach, for example substantive knowledge.</w:t>
            </w:r>
          </w:p>
          <w:p w14:paraId="545DE86B" w14:textId="51EAE5F4" w:rsidR="005E75BD" w:rsidRPr="005E75BD" w:rsidRDefault="005E75BD" w:rsidP="005E75BD">
            <w:pPr>
              <w:pStyle w:val="ListParagraph"/>
              <w:numPr>
                <w:ilvl w:val="0"/>
                <w:numId w:val="5"/>
              </w:numPr>
              <w:rPr>
                <w:rFonts w:ascii="Cambria" w:hAnsi="Cambria"/>
                <w:b/>
                <w:bCs/>
                <w:sz w:val="20"/>
                <w:szCs w:val="20"/>
              </w:rPr>
            </w:pPr>
            <w:r w:rsidRPr="005E75BD">
              <w:rPr>
                <w:rFonts w:ascii="Cambria" w:hAnsi="Cambria"/>
                <w:b/>
                <w:bCs/>
                <w:sz w:val="20"/>
                <w:szCs w:val="20"/>
              </w:rPr>
              <w:t>Exemplify how to accumulate and refine a collection of powerful analogies, illustrations, examples, explanations and demonstrations.</w:t>
            </w:r>
          </w:p>
          <w:p w14:paraId="3437E904" w14:textId="47F34CA8" w:rsidR="00CB44DE" w:rsidRPr="00523D39" w:rsidRDefault="00CB44DE" w:rsidP="00A262D6">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2F73181B" w14:textId="1BD6E52F" w:rsidR="00B5000E" w:rsidRPr="00523D39" w:rsidRDefault="00B5000E" w:rsidP="005E75BD">
            <w:pPr>
              <w:pBdr>
                <w:top w:val="nil"/>
                <w:left w:val="nil"/>
                <w:bottom w:val="nil"/>
                <w:right w:val="nil"/>
                <w:between w:val="nil"/>
              </w:pBdr>
              <w:jc w:val="both"/>
              <w:rPr>
                <w:rFonts w:ascii="Cambria" w:hAnsi="Cambria"/>
                <w:b/>
                <w:bCs/>
                <w:sz w:val="20"/>
                <w:szCs w:val="20"/>
              </w:rPr>
            </w:pPr>
          </w:p>
          <w:p w14:paraId="59D4E876" w14:textId="1A00BA36" w:rsidR="005E75BD" w:rsidRPr="005E75BD" w:rsidRDefault="005E75BD" w:rsidP="005E75BD">
            <w:pPr>
              <w:pStyle w:val="ListParagraph"/>
              <w:numPr>
                <w:ilvl w:val="0"/>
                <w:numId w:val="6"/>
              </w:numPr>
              <w:pBdr>
                <w:top w:val="nil"/>
                <w:left w:val="nil"/>
                <w:bottom w:val="nil"/>
                <w:right w:val="nil"/>
                <w:between w:val="nil"/>
              </w:pBdr>
              <w:jc w:val="both"/>
              <w:rPr>
                <w:rFonts w:ascii="Cambria" w:hAnsi="Cambria"/>
                <w:sz w:val="20"/>
                <w:szCs w:val="20"/>
              </w:rPr>
            </w:pPr>
            <w:r w:rsidRPr="005E75BD">
              <w:rPr>
                <w:rFonts w:ascii="Cambria" w:hAnsi="Cambria"/>
                <w:sz w:val="20"/>
                <w:szCs w:val="20"/>
              </w:rPr>
              <w:t>Evaluate the logical progression and coherence of their content sequencing, based on the principles outlined by Counsell (2012).</w:t>
            </w:r>
          </w:p>
          <w:p w14:paraId="21D1090C" w14:textId="77777777" w:rsidR="005E75BD" w:rsidRDefault="005E75BD" w:rsidP="005E75BD">
            <w:pPr>
              <w:pBdr>
                <w:top w:val="nil"/>
                <w:left w:val="nil"/>
                <w:bottom w:val="nil"/>
                <w:right w:val="nil"/>
                <w:between w:val="nil"/>
              </w:pBdr>
              <w:jc w:val="both"/>
              <w:rPr>
                <w:rFonts w:ascii="Cambria" w:hAnsi="Cambria"/>
                <w:sz w:val="20"/>
                <w:szCs w:val="20"/>
              </w:rPr>
            </w:pPr>
          </w:p>
          <w:p w14:paraId="33263CD5" w14:textId="77777777" w:rsidR="005E75BD" w:rsidRPr="005E75BD" w:rsidRDefault="005E75BD" w:rsidP="005E75BD">
            <w:pPr>
              <w:pBdr>
                <w:top w:val="nil"/>
                <w:left w:val="nil"/>
                <w:bottom w:val="nil"/>
                <w:right w:val="nil"/>
                <w:between w:val="nil"/>
              </w:pBdr>
              <w:spacing w:after="0" w:line="240" w:lineRule="auto"/>
              <w:jc w:val="both"/>
              <w:rPr>
                <w:rFonts w:ascii="Cambria" w:hAnsi="Cambria"/>
                <w:sz w:val="20"/>
                <w:szCs w:val="20"/>
              </w:rPr>
            </w:pPr>
          </w:p>
          <w:p w14:paraId="11852BB5" w14:textId="3CF21E82" w:rsidR="00CF7910" w:rsidRPr="00523D39" w:rsidRDefault="005E75BD" w:rsidP="00B5000E">
            <w:pPr>
              <w:pBdr>
                <w:top w:val="nil"/>
                <w:left w:val="nil"/>
                <w:bottom w:val="nil"/>
                <w:right w:val="nil"/>
                <w:between w:val="nil"/>
              </w:pBdr>
              <w:jc w:val="both"/>
              <w:rPr>
                <w:rFonts w:ascii="Cambria" w:hAnsi="Cambria"/>
                <w:sz w:val="20"/>
                <w:szCs w:val="20"/>
              </w:rPr>
            </w:pPr>
            <w:r w:rsidRPr="005E75BD">
              <w:rPr>
                <w:rFonts w:ascii="Cambria" w:hAnsi="Cambria"/>
                <w:sz w:val="20"/>
                <w:szCs w:val="20"/>
              </w:rPr>
              <w:t>2.</w:t>
            </w:r>
            <w:r w:rsidRPr="005E75BD">
              <w:rPr>
                <w:rFonts w:ascii="Cambria" w:hAnsi="Cambria"/>
                <w:sz w:val="20"/>
                <w:szCs w:val="20"/>
              </w:rPr>
              <w:tab/>
              <w:t>Describe how the expert colleagues ensure that pupils' thinking is focused on key ideas within the subject.</w:t>
            </w: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36981581" w:rsidR="002454C4" w:rsidRPr="00523D39" w:rsidRDefault="00A957DF" w:rsidP="002454C4">
            <w:pPr>
              <w:jc w:val="center"/>
              <w:rPr>
                <w:rFonts w:ascii="Cambria" w:hAnsi="Cambria"/>
                <w:b/>
                <w:bCs/>
                <w:sz w:val="20"/>
                <w:szCs w:val="20"/>
              </w:rPr>
            </w:pPr>
            <w:r w:rsidRPr="00A957DF">
              <w:rPr>
                <w:rFonts w:ascii="Cambria" w:hAnsi="Cambria"/>
                <w:b/>
                <w:bCs/>
                <w:sz w:val="20"/>
                <w:szCs w:val="20"/>
                <w:highlight w:val="yellow"/>
              </w:rPr>
              <w:t>Y</w:t>
            </w:r>
            <w:r>
              <w:rPr>
                <w:rFonts w:ascii="Cambria" w:hAnsi="Cambria"/>
                <w:b/>
                <w:bCs/>
                <w:sz w:val="20"/>
                <w:szCs w:val="20"/>
              </w:rPr>
              <w:t>/N</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777777" w:rsidR="002454C4" w:rsidRPr="00523D39" w:rsidRDefault="002454C4" w:rsidP="002454C4">
            <w:pPr>
              <w:jc w:val="center"/>
              <w:rPr>
                <w:rFonts w:ascii="Cambria" w:hAnsi="Cambria"/>
                <w:b/>
                <w:bCs/>
                <w:sz w:val="20"/>
                <w:szCs w:val="20"/>
              </w:rPr>
            </w:pPr>
            <w:r w:rsidRPr="00A957DF">
              <w:rPr>
                <w:rFonts w:ascii="Cambria" w:hAnsi="Cambria"/>
                <w:b/>
                <w:bCs/>
                <w:sz w:val="20"/>
                <w:szCs w:val="20"/>
                <w:highlight w:val="yellow"/>
              </w:rPr>
              <w:t>Y</w:t>
            </w:r>
            <w:r w:rsidRPr="00523D39">
              <w:rPr>
                <w:rFonts w:ascii="Cambria" w:hAnsi="Cambria"/>
                <w:b/>
                <w:bCs/>
                <w:sz w:val="20"/>
                <w:szCs w:val="20"/>
              </w:rPr>
              <w:t>/N</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1891F29" w14:textId="73CA5506" w:rsidR="00A957DF" w:rsidRPr="00A957DF" w:rsidRDefault="00A957DF" w:rsidP="00A957DF">
            <w:pPr>
              <w:pStyle w:val="xmsolistparagraph"/>
              <w:shd w:val="clear" w:color="auto" w:fill="FFFFFF"/>
              <w:spacing w:before="0" w:beforeAutospacing="0" w:after="0" w:afterAutospacing="0"/>
              <w:ind w:left="720"/>
              <w:rPr>
                <w:rFonts w:ascii="Cambria" w:hAnsi="Cambria" w:cstheme="minorHAnsi"/>
                <w:b/>
                <w:bCs/>
                <w:color w:val="FF0000"/>
                <w:sz w:val="20"/>
                <w:szCs w:val="20"/>
                <w:bdr w:val="none" w:sz="0" w:space="0" w:color="auto" w:frame="1"/>
              </w:rPr>
            </w:pPr>
            <w:r>
              <w:rPr>
                <w:rFonts w:ascii="Cambria" w:hAnsi="Cambria" w:cstheme="minorHAnsi"/>
                <w:b/>
                <w:bCs/>
                <w:color w:val="FF0000"/>
                <w:sz w:val="20"/>
                <w:szCs w:val="20"/>
                <w:bdr w:val="none" w:sz="0" w:space="0" w:color="auto" w:frame="1"/>
              </w:rPr>
              <w:t>Can you please set 3 x targets</w:t>
            </w:r>
          </w:p>
          <w:p w14:paraId="63F48ED6" w14:textId="153C2DC7" w:rsidR="005E75BD" w:rsidRPr="005E75BD" w:rsidRDefault="00CF7910" w:rsidP="005E75BD">
            <w:pPr>
              <w:pStyle w:val="xmsolistparagraph"/>
              <w:numPr>
                <w:ilvl w:val="0"/>
                <w:numId w:val="7"/>
              </w:numPr>
              <w:shd w:val="clear" w:color="auto" w:fill="FFFFFF"/>
              <w:spacing w:before="0" w:beforeAutospacing="0" w:after="0" w:afterAutospacing="0"/>
              <w:rPr>
                <w:rFonts w:ascii="Cambria" w:hAnsi="Cambria" w:cstheme="minorHAnsi"/>
                <w:b/>
                <w:bCs/>
                <w:color w:val="FF0000"/>
                <w:sz w:val="20"/>
                <w:szCs w:val="20"/>
                <w:bdr w:val="none" w:sz="0" w:space="0" w:color="auto" w:frame="1"/>
              </w:rPr>
            </w:pPr>
            <w:r w:rsidRPr="00D74150">
              <w:rPr>
                <w:rFonts w:ascii="Cambria" w:hAnsi="Cambria" w:cs="Calibri"/>
                <w:b/>
                <w:bCs/>
                <w:color w:val="FF0000"/>
                <w:sz w:val="20"/>
                <w:szCs w:val="20"/>
              </w:rPr>
              <w:t xml:space="preserve">Use the </w:t>
            </w:r>
            <w:r>
              <w:rPr>
                <w:rFonts w:ascii="Cambria" w:hAnsi="Cambria" w:cs="Calibri"/>
                <w:b/>
                <w:bCs/>
                <w:color w:val="FF0000"/>
                <w:sz w:val="20"/>
                <w:szCs w:val="20"/>
              </w:rPr>
              <w:t xml:space="preserve">geography specific targets </w:t>
            </w:r>
            <w:hyperlink r:id="rId20" w:history="1">
              <w:r w:rsidRPr="0070030C">
                <w:rPr>
                  <w:rStyle w:val="Hyperlink"/>
                  <w:rFonts w:ascii="Georgia" w:hAnsi="Georgia" w:cs="Segoe UI"/>
                  <w:color w:val="0070C0"/>
                  <w:bdr w:val="none" w:sz="0" w:space="0" w:color="auto" w:frame="1"/>
                </w:rPr>
                <w:t>Link here</w:t>
              </w:r>
            </w:hyperlink>
            <w:r>
              <w:rPr>
                <w:rFonts w:ascii="Cambria" w:hAnsi="Cambria" w:cs="Calibri"/>
                <w:b/>
                <w:bCs/>
                <w:color w:val="FF0000"/>
                <w:sz w:val="20"/>
                <w:szCs w:val="20"/>
              </w:rPr>
              <w:t xml:space="preserve">if required and the geography curriculum for next week </w:t>
            </w:r>
            <w:hyperlink r:id="rId21" w:tgtFrame="_blank" w:history="1">
              <w:r w:rsidRPr="00C71C23">
                <w:rPr>
                  <w:rFonts w:ascii="Georgia" w:hAnsi="Georgia"/>
                  <w:color w:val="0000FF"/>
                  <w:u w:val="single"/>
                  <w:bdr w:val="none" w:sz="0" w:space="0" w:color="auto" w:frame="1"/>
                </w:rPr>
                <w:t>Link here</w:t>
              </w:r>
            </w:hyperlink>
            <w:r>
              <w:rPr>
                <w:rFonts w:ascii="Georgia" w:hAnsi="Georgia"/>
                <w:color w:val="0000FF"/>
                <w:u w:val="single"/>
                <w:bdr w:val="none" w:sz="0" w:space="0" w:color="auto" w:frame="1"/>
              </w:rPr>
              <w:t xml:space="preserve"> </w:t>
            </w:r>
            <w:r w:rsidRPr="00D74150">
              <w:rPr>
                <w:rFonts w:ascii="Cambria" w:hAnsi="Cambria" w:cstheme="minorHAnsi"/>
                <w:b/>
                <w:bCs/>
                <w:color w:val="FF0000"/>
                <w:sz w:val="20"/>
                <w:szCs w:val="20"/>
                <w:bdr w:val="none" w:sz="0" w:space="0" w:color="auto" w:frame="1"/>
              </w:rPr>
              <w:t>to help set targets</w:t>
            </w:r>
            <w:r w:rsidR="00A957DF">
              <w:rPr>
                <w:rFonts w:ascii="Cambria" w:hAnsi="Cambria" w:cstheme="minorHAnsi"/>
                <w:b/>
                <w:bCs/>
                <w:color w:val="FF0000"/>
                <w:sz w:val="20"/>
                <w:szCs w:val="20"/>
                <w:bdr w:val="none" w:sz="0" w:space="0" w:color="auto" w:frame="1"/>
              </w:rPr>
              <w:t xml:space="preserve"> where applicable. </w:t>
            </w:r>
            <w:r>
              <w:rPr>
                <w:rFonts w:ascii="Cambria" w:hAnsi="Cambria" w:cstheme="minorHAnsi"/>
                <w:b/>
                <w:bCs/>
                <w:color w:val="FF0000"/>
                <w:sz w:val="20"/>
                <w:szCs w:val="20"/>
                <w:bdr w:val="none" w:sz="0" w:space="0" w:color="auto" w:frame="1"/>
              </w:rPr>
              <w:t xml:space="preserve"> </w:t>
            </w:r>
            <w:r w:rsidR="005E75BD" w:rsidRPr="005E75BD">
              <w:rPr>
                <w:rFonts w:ascii="Cambria" w:hAnsi="Cambria" w:cs="Calibri"/>
                <w:b/>
                <w:bCs/>
                <w:color w:val="FF0000"/>
                <w:sz w:val="20"/>
                <w:szCs w:val="20"/>
              </w:rPr>
              <w:t>Please also refer to the Geography subject knowledge audit</w:t>
            </w:r>
            <w:r w:rsidR="00BD1645">
              <w:rPr>
                <w:rFonts w:ascii="Cambria" w:hAnsi="Cambria" w:cs="Calibri"/>
                <w:b/>
                <w:bCs/>
                <w:color w:val="FF0000"/>
                <w:sz w:val="20"/>
                <w:szCs w:val="20"/>
              </w:rPr>
              <w:t xml:space="preserve"> the trainee has completed</w:t>
            </w:r>
            <w:r w:rsidR="005E75BD" w:rsidRPr="005E75BD">
              <w:rPr>
                <w:rFonts w:ascii="Cambria" w:hAnsi="Cambria" w:cs="Calibri"/>
                <w:b/>
                <w:bCs/>
                <w:color w:val="FF0000"/>
                <w:sz w:val="20"/>
                <w:szCs w:val="20"/>
              </w:rPr>
              <w:t xml:space="preserve"> – If </w:t>
            </w:r>
            <w:r w:rsidR="00BD1645">
              <w:rPr>
                <w:rFonts w:ascii="Cambria" w:hAnsi="Cambria" w:cs="Calibri"/>
                <w:b/>
                <w:bCs/>
                <w:color w:val="FF0000"/>
                <w:sz w:val="20"/>
                <w:szCs w:val="20"/>
              </w:rPr>
              <w:t xml:space="preserve">blank template </w:t>
            </w:r>
            <w:r w:rsidR="005E75BD" w:rsidRPr="005E75BD">
              <w:rPr>
                <w:rFonts w:ascii="Cambria" w:hAnsi="Cambria" w:cs="Calibri"/>
                <w:b/>
                <w:bCs/>
                <w:color w:val="FF0000"/>
                <w:sz w:val="20"/>
                <w:szCs w:val="20"/>
              </w:rPr>
              <w:t xml:space="preserve">required access via this link:  </w:t>
            </w:r>
            <w:hyperlink r:id="rId22" w:tooltip="https://docs.google.com/document/d/1mPPIXuTHK4dSm3irmlF4fqAEKvMq9Sx0/edit?usp=drive_link&amp;ouid=108798030861534169142&amp;rtpof=true&amp;sd=true" w:history="1">
              <w:r w:rsidR="005E75BD" w:rsidRPr="005E75BD">
                <w:rPr>
                  <w:rFonts w:ascii="Georgia" w:eastAsia="Calibri" w:hAnsi="Georgia" w:cs="Calibri"/>
                  <w:color w:val="0000FF"/>
                  <w:sz w:val="22"/>
                  <w:szCs w:val="22"/>
                  <w:u w:val="single"/>
                  <w:bdr w:val="none" w:sz="0" w:space="0" w:color="auto" w:frame="1"/>
                  <w:shd w:val="clear" w:color="auto" w:fill="FFFFFF"/>
                </w:rPr>
                <w:t xml:space="preserve">Link </w:t>
              </w:r>
              <w:r w:rsidR="005E75BD" w:rsidRPr="005E75BD">
                <w:rPr>
                  <w:rFonts w:ascii="Georgia" w:eastAsia="Calibri" w:hAnsi="Georgia" w:cs="Calibri"/>
                  <w:color w:val="0000FF"/>
                  <w:sz w:val="22"/>
                  <w:szCs w:val="22"/>
                  <w:u w:val="single"/>
                  <w:bdr w:val="none" w:sz="0" w:space="0" w:color="auto" w:frame="1"/>
                  <w:shd w:val="clear" w:color="auto" w:fill="FFFFFF"/>
                </w:rPr>
                <w:t>here</w:t>
              </w:r>
            </w:hyperlink>
          </w:p>
          <w:p w14:paraId="2BDBB1D9" w14:textId="002DB01F" w:rsidR="00A957DF" w:rsidRDefault="00A957DF" w:rsidP="005E75BD">
            <w:pPr>
              <w:pStyle w:val="xmsolistparagraph"/>
              <w:shd w:val="clear" w:color="auto" w:fill="FFFFFF"/>
              <w:spacing w:before="0" w:beforeAutospacing="0" w:after="0" w:afterAutospacing="0"/>
              <w:rPr>
                <w:rFonts w:ascii="Cambria" w:hAnsi="Cambria" w:cstheme="minorHAnsi"/>
                <w:b/>
                <w:bCs/>
                <w:color w:val="FF0000"/>
                <w:sz w:val="20"/>
                <w:szCs w:val="20"/>
                <w:bdr w:val="none" w:sz="0" w:space="0" w:color="auto" w:frame="1"/>
              </w:rPr>
            </w:pPr>
            <w:r>
              <w:rPr>
                <w:rFonts w:ascii="Cambria" w:hAnsi="Cambria" w:cstheme="minorHAnsi"/>
                <w:b/>
                <w:bCs/>
                <w:color w:val="FF0000"/>
                <w:sz w:val="20"/>
                <w:szCs w:val="20"/>
                <w:bdr w:val="none" w:sz="0" w:space="0" w:color="auto" w:frame="1"/>
              </w:rPr>
              <w:t xml:space="preserve">                        Please also tick one of the boxes in the yellow section below to show progress made.</w:t>
            </w:r>
            <w:r w:rsidR="005E75BD">
              <w:rPr>
                <w:rFonts w:ascii="Cambria" w:hAnsi="Cambria" w:cstheme="minorHAnsi"/>
                <w:b/>
                <w:bCs/>
                <w:color w:val="FF0000"/>
                <w:sz w:val="20"/>
                <w:szCs w:val="20"/>
                <w:bdr w:val="none" w:sz="0" w:space="0" w:color="auto" w:frame="1"/>
              </w:rPr>
              <w:t xml:space="preserve">   </w:t>
            </w:r>
            <w:r>
              <w:rPr>
                <w:rFonts w:ascii="Cambria" w:hAnsi="Cambria" w:cstheme="minorHAnsi"/>
                <w:b/>
                <w:bCs/>
                <w:color w:val="FF0000"/>
                <w:sz w:val="20"/>
                <w:szCs w:val="20"/>
                <w:bdr w:val="none" w:sz="0" w:space="0" w:color="auto" w:frame="1"/>
              </w:rPr>
              <w:t>If the trainee is a YES with additional support or NO could you please email this to me directly , as well as the trainee uploading via InPlace:    watkinsa@edgehill.ac.uk</w:t>
            </w:r>
          </w:p>
          <w:p w14:paraId="71D1D38F" w14:textId="5C8A15D7" w:rsidR="005E75BD" w:rsidRPr="005E75BD" w:rsidRDefault="005E75BD" w:rsidP="005E75BD">
            <w:pPr>
              <w:pStyle w:val="xmsolistparagraph"/>
              <w:shd w:val="clear" w:color="auto" w:fill="FFFFFF"/>
              <w:spacing w:before="0" w:beforeAutospacing="0" w:after="0" w:afterAutospacing="0"/>
              <w:rPr>
                <w:rFonts w:ascii="Cambria" w:hAnsi="Cambria" w:cstheme="minorHAnsi"/>
                <w:b/>
                <w:bCs/>
                <w:color w:val="FF0000"/>
                <w:sz w:val="20"/>
                <w:szCs w:val="20"/>
                <w:bdr w:val="none" w:sz="0" w:space="0" w:color="auto" w:frame="1"/>
              </w:rPr>
            </w:pPr>
            <w:r>
              <w:rPr>
                <w:rFonts w:ascii="Cambria" w:hAnsi="Cambria" w:cstheme="minorHAnsi"/>
                <w:b/>
                <w:bCs/>
                <w:color w:val="FF0000"/>
                <w:sz w:val="20"/>
                <w:szCs w:val="20"/>
                <w:bdr w:val="none" w:sz="0" w:space="0" w:color="auto" w:frame="1"/>
              </w:rPr>
              <w:t xml:space="preserve">                            </w:t>
            </w:r>
            <w:r w:rsidR="00A957DF" w:rsidRPr="00A957DF">
              <w:rPr>
                <w:rFonts w:ascii="Cambria" w:hAnsi="Cambria" w:cstheme="minorHAnsi"/>
                <w:b/>
                <w:bCs/>
                <w:color w:val="FF0000"/>
                <w:sz w:val="20"/>
                <w:szCs w:val="20"/>
                <w:bdr w:val="none" w:sz="0" w:space="0" w:color="auto" w:frame="1"/>
              </w:rPr>
              <w:t xml:space="preserve">                     </w:t>
            </w:r>
            <w:r w:rsidR="00A957DF">
              <w:rPr>
                <w:rFonts w:ascii="Cambria" w:hAnsi="Cambria" w:cstheme="minorHAnsi"/>
                <w:b/>
                <w:bCs/>
                <w:color w:val="FF0000"/>
                <w:sz w:val="20"/>
                <w:szCs w:val="20"/>
                <w:bdr w:val="none" w:sz="0" w:space="0" w:color="auto" w:frame="1"/>
              </w:rPr>
              <w:t xml:space="preserve">                    </w:t>
            </w:r>
            <w:r w:rsidR="00A957DF" w:rsidRPr="00A957DF">
              <w:rPr>
                <w:rFonts w:ascii="Cambria" w:hAnsi="Cambria" w:cstheme="minorHAnsi"/>
                <w:b/>
                <w:bCs/>
                <w:color w:val="FF0000"/>
                <w:sz w:val="20"/>
                <w:szCs w:val="20"/>
                <w:bdr w:val="none" w:sz="0" w:space="0" w:color="auto" w:frame="1"/>
              </w:rPr>
              <w:t xml:space="preserve">( PLEASE DELETE THIS )                                                                                                 </w:t>
            </w:r>
            <w:r>
              <w:rPr>
                <w:rFonts w:ascii="Cambria" w:hAnsi="Cambria" w:cstheme="minorHAnsi"/>
                <w:b/>
                <w:bCs/>
                <w:color w:val="FF0000"/>
                <w:sz w:val="20"/>
                <w:szCs w:val="20"/>
                <w:bdr w:val="none" w:sz="0" w:space="0" w:color="auto" w:frame="1"/>
              </w:rPr>
              <w:t xml:space="preserve">           </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lastRenderedPageBreak/>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171806A8" w:rsidR="002454C4" w:rsidRPr="00F83C7A" w:rsidRDefault="00000000" w:rsidP="002454C4">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000000"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000000"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2C1A19">
      <w:headerReference w:type="default" r:id="rId23"/>
      <w:footerReference w:type="defaul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937D" w14:textId="77777777" w:rsidR="002C1A19" w:rsidRDefault="002C1A19" w:rsidP="00BB0205">
      <w:pPr>
        <w:spacing w:after="0" w:line="240" w:lineRule="auto"/>
      </w:pPr>
      <w:r>
        <w:separator/>
      </w:r>
    </w:p>
  </w:endnote>
  <w:endnote w:type="continuationSeparator" w:id="0">
    <w:p w14:paraId="79D41844" w14:textId="77777777" w:rsidR="002C1A19" w:rsidRDefault="002C1A1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515F" w14:textId="77777777" w:rsidR="002C1A19" w:rsidRDefault="002C1A19" w:rsidP="00BB0205">
      <w:pPr>
        <w:spacing w:after="0" w:line="240" w:lineRule="auto"/>
      </w:pPr>
      <w:r>
        <w:separator/>
      </w:r>
    </w:p>
  </w:footnote>
  <w:footnote w:type="continuationSeparator" w:id="0">
    <w:p w14:paraId="36EAAC68" w14:textId="77777777" w:rsidR="002C1A19" w:rsidRDefault="002C1A1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A08EF"/>
    <w:multiLevelType w:val="hybridMultilevel"/>
    <w:tmpl w:val="B4DE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5A3CCB"/>
    <w:multiLevelType w:val="hybridMultilevel"/>
    <w:tmpl w:val="2A18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BE0E99"/>
    <w:multiLevelType w:val="hybridMultilevel"/>
    <w:tmpl w:val="B5E0EEB2"/>
    <w:lvl w:ilvl="0" w:tplc="3FD8A1C6">
      <w:start w:val="1"/>
      <w:numFmt w:val="decimal"/>
      <w:lvlText w:val="%1."/>
      <w:lvlJc w:val="left"/>
      <w:pPr>
        <w:ind w:left="720" w:hanging="360"/>
      </w:pPr>
      <w:rPr>
        <w:rFonts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5"/>
  </w:num>
  <w:num w:numId="2" w16cid:durableId="745959156">
    <w:abstractNumId w:val="3"/>
  </w:num>
  <w:num w:numId="3" w16cid:durableId="365060952">
    <w:abstractNumId w:val="1"/>
  </w:num>
  <w:num w:numId="4" w16cid:durableId="970749666">
    <w:abstractNumId w:val="0"/>
  </w:num>
  <w:num w:numId="5" w16cid:durableId="1022585166">
    <w:abstractNumId w:val="2"/>
  </w:num>
  <w:num w:numId="6" w16cid:durableId="1758745248">
    <w:abstractNumId w:val="4"/>
  </w:num>
  <w:num w:numId="7" w16cid:durableId="201421559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C1A19"/>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A7696"/>
    <w:rsid w:val="003C0614"/>
    <w:rsid w:val="003C1D2B"/>
    <w:rsid w:val="003E7131"/>
    <w:rsid w:val="003F297E"/>
    <w:rsid w:val="004009A7"/>
    <w:rsid w:val="00402356"/>
    <w:rsid w:val="00403E3F"/>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E75BD"/>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62D6"/>
    <w:rsid w:val="00A27B4C"/>
    <w:rsid w:val="00A36B06"/>
    <w:rsid w:val="00A461C0"/>
    <w:rsid w:val="00A61137"/>
    <w:rsid w:val="00A7227A"/>
    <w:rsid w:val="00A771B9"/>
    <w:rsid w:val="00A92CA0"/>
    <w:rsid w:val="00A957DF"/>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9137B"/>
    <w:rsid w:val="00B963DE"/>
    <w:rsid w:val="00BA06A2"/>
    <w:rsid w:val="00BA12BC"/>
    <w:rsid w:val="00BA3E39"/>
    <w:rsid w:val="00BB0205"/>
    <w:rsid w:val="00BC2D67"/>
    <w:rsid w:val="00BD1645"/>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CF7910"/>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7855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curriculum-support/projects/project-archive/global-learning-programme/subject-knowledge-and-cpd/"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dgehill.ac.uk/document/secondary-pgce-geography-11-16-with-qts-itt-course-plan/"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sites.edgehill.ac.uk/mentorspace/files/2023/08/Geography-Subject-Specific-Targets6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dtrust.org/wp-content/uploads/2015/10/DGT-Full-report.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ography.org.uk/The-GA-Professional-Passport/" TargetMode="External"/><Relationship Id="rId22" Type="http://schemas.openxmlformats.org/officeDocument/2006/relationships/hyperlink" Target="https://docs.google.com/document/d/1mPPIXuTHK4dSm3irmlF4fqAEKvMq9Sx0/edit?usp=drive_link&amp;ouid=108798030861534169142&amp;rtpof=true&amp;s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Andrew Watkins</cp:lastModifiedBy>
  <cp:revision>10</cp:revision>
  <cp:lastPrinted>2023-05-18T14:08:00Z</cp:lastPrinted>
  <dcterms:created xsi:type="dcterms:W3CDTF">2023-06-07T13:04:00Z</dcterms:created>
  <dcterms:modified xsi:type="dcterms:W3CDTF">2024-02-28T09:57:00Z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