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1719"/>
        <w:gridCol w:w="575"/>
        <w:gridCol w:w="1124"/>
        <w:gridCol w:w="1239"/>
        <w:gridCol w:w="657"/>
      </w:tblGrid>
      <w:tr w:rsidRPr="00F07217" w:rsidR="00BB0205" w:rsidTr="0919D965" w14:paraId="31D4C3CB" w14:textId="77777777">
        <w:trPr>
          <w:trHeight w:val="680"/>
        </w:trPr>
        <w:tc>
          <w:tcPr>
            <w:tcW w:w="11483" w:type="dxa"/>
            <w:gridSpan w:val="10"/>
            <w:tcBorders>
              <w:top w:val="single" w:color="auto" w:sz="4" w:space="0"/>
              <w:left w:val="single" w:color="auto" w:sz="4" w:space="0"/>
              <w:bottom w:val="single" w:color="auto" w:sz="4" w:space="0"/>
              <w:right w:val="single" w:color="auto" w:sz="4" w:space="0"/>
            </w:tcBorders>
            <w:shd w:val="clear" w:color="auto" w:fill="7030A0"/>
            <w:tcMar/>
          </w:tcPr>
          <w:p w:rsidRPr="00523D39" w:rsidR="00BB0205" w:rsidP="00F07217" w:rsidRDefault="00BB0205" w14:paraId="2F0115FB" w14:textId="586ACC58">
            <w:pPr>
              <w:jc w:val="center"/>
              <w:rPr>
                <w:rFonts w:ascii="Cambria" w:hAnsi="Cambria" w:eastAsia="Georgia" w:cs="Georgia"/>
                <w:b/>
                <w:color w:val="FFFFFF" w:themeColor="background1"/>
                <w:sz w:val="20"/>
                <w:szCs w:val="20"/>
              </w:rPr>
            </w:pPr>
            <w:bookmarkStart w:name="_Hlk86825635" w:id="0"/>
            <w:r w:rsidRPr="00523D39">
              <w:rPr>
                <w:rFonts w:ascii="Cambria" w:hAnsi="Cambria" w:eastAsia="Georgia" w:cs="Georgia"/>
                <w:b/>
                <w:color w:val="FFFFFF" w:themeColor="background1"/>
                <w:sz w:val="20"/>
                <w:szCs w:val="20"/>
              </w:rPr>
              <w:t xml:space="preserve">Welcome to the mentor </w:t>
            </w:r>
            <w:r w:rsidRPr="00523D39" w:rsidR="00FE47C3">
              <w:rPr>
                <w:rFonts w:ascii="Cambria" w:hAnsi="Cambria" w:eastAsia="Georgia" w:cs="Georgia"/>
                <w:b/>
                <w:color w:val="FFFFFF" w:themeColor="background1"/>
                <w:sz w:val="20"/>
                <w:szCs w:val="20"/>
              </w:rPr>
              <w:t>Weekly Development Summary</w:t>
            </w:r>
            <w:r w:rsidRPr="00523D39">
              <w:rPr>
                <w:rFonts w:ascii="Cambria" w:hAnsi="Cambria" w:eastAsia="Georgia" w:cs="Georgia"/>
                <w:b/>
                <w:color w:val="FFFFFF" w:themeColor="background1"/>
                <w:sz w:val="20"/>
                <w:szCs w:val="20"/>
              </w:rPr>
              <w:t xml:space="preserve"> from the Department of Secondary and Further Education</w:t>
            </w:r>
            <w:r w:rsidRPr="00523D39" w:rsidR="00966A4C">
              <w:rPr>
                <w:rFonts w:ascii="Cambria" w:hAnsi="Cambria" w:eastAsia="Georgia" w:cs="Georgia"/>
                <w:b/>
                <w:color w:val="FFFFFF" w:themeColor="background1"/>
                <w:sz w:val="20"/>
                <w:szCs w:val="20"/>
              </w:rPr>
              <w:t xml:space="preserve"> (AY 2</w:t>
            </w:r>
            <w:r w:rsidRPr="00523D39" w:rsidR="002D71BC">
              <w:rPr>
                <w:rFonts w:ascii="Cambria" w:hAnsi="Cambria" w:eastAsia="Georgia" w:cs="Georgia"/>
                <w:b/>
                <w:color w:val="FFFFFF" w:themeColor="background1"/>
                <w:sz w:val="20"/>
                <w:szCs w:val="20"/>
              </w:rPr>
              <w:t>3</w:t>
            </w:r>
            <w:r w:rsidRPr="00523D39" w:rsidR="00966A4C">
              <w:rPr>
                <w:rFonts w:ascii="Cambria" w:hAnsi="Cambria" w:eastAsia="Georgia" w:cs="Georgia"/>
                <w:b/>
                <w:color w:val="FFFFFF" w:themeColor="background1"/>
                <w:sz w:val="20"/>
                <w:szCs w:val="20"/>
              </w:rPr>
              <w:t>/2</w:t>
            </w:r>
            <w:r w:rsidRPr="00523D39" w:rsidR="002D71BC">
              <w:rPr>
                <w:rFonts w:ascii="Cambria" w:hAnsi="Cambria" w:eastAsia="Georgia" w:cs="Georgia"/>
                <w:b/>
                <w:color w:val="FFFFFF" w:themeColor="background1"/>
                <w:sz w:val="20"/>
                <w:szCs w:val="20"/>
              </w:rPr>
              <w:t>4</w:t>
            </w:r>
            <w:r w:rsidRPr="00523D39" w:rsidR="00966A4C">
              <w:rPr>
                <w:rFonts w:ascii="Cambria" w:hAnsi="Cambria" w:eastAsia="Georgia" w:cs="Georgia"/>
                <w:b/>
                <w:color w:val="FFFFFF" w:themeColor="background1"/>
                <w:sz w:val="20"/>
                <w:szCs w:val="20"/>
              </w:rPr>
              <w:t>)</w:t>
            </w:r>
          </w:p>
          <w:p w:rsidRPr="00523D39" w:rsidR="006102D0" w:rsidP="0919D965" w:rsidRDefault="006102D0" w14:paraId="2E8EA821" w14:textId="1DBD5B8E">
            <w:pPr>
              <w:jc w:val="center"/>
              <w:rPr>
                <w:rFonts w:ascii="Cambria" w:hAnsi="Cambria" w:eastAsia="Georgia" w:cs="Georgia"/>
                <w:b w:val="1"/>
                <w:bCs w:val="1"/>
                <w:sz w:val="20"/>
                <w:szCs w:val="20"/>
              </w:rPr>
            </w:pPr>
            <w:r w:rsidRPr="0919D965" w:rsidR="006102D0">
              <w:rPr>
                <w:rFonts w:ascii="Cambria" w:hAnsi="Cambria" w:eastAsia="Georgia" w:cs="Georgia"/>
                <w:b w:val="1"/>
                <w:bCs w:val="1"/>
                <w:color w:val="FFFFFF" w:themeColor="background1" w:themeTint="FF" w:themeShade="FF"/>
                <w:sz w:val="20"/>
                <w:szCs w:val="20"/>
              </w:rPr>
              <w:t xml:space="preserve">Week </w:t>
            </w:r>
            <w:r w:rsidRPr="0919D965" w:rsidR="5D2C3247">
              <w:rPr>
                <w:rFonts w:ascii="Cambria" w:hAnsi="Cambria" w:eastAsia="Georgia" w:cs="Georgia"/>
                <w:b w:val="1"/>
                <w:bCs w:val="1"/>
                <w:color w:val="FFFFFF" w:themeColor="background1" w:themeTint="FF" w:themeShade="FF"/>
                <w:sz w:val="20"/>
                <w:szCs w:val="20"/>
              </w:rPr>
              <w:t xml:space="preserve">28 </w:t>
            </w:r>
            <w:r w:rsidRPr="0919D965" w:rsidR="008D544D">
              <w:rPr>
                <w:rFonts w:ascii="Cambria" w:hAnsi="Cambria" w:eastAsia="Georgia" w:cs="Georgia"/>
                <w:b w:val="1"/>
                <w:bCs w:val="1"/>
                <w:color w:val="FFFFFF" w:themeColor="background1" w:themeTint="FF" w:themeShade="FF"/>
                <w:sz w:val="20"/>
                <w:szCs w:val="20"/>
              </w:rPr>
              <w:t>(Final week of professional practice phase)</w:t>
            </w:r>
          </w:p>
        </w:tc>
      </w:tr>
      <w:tr w:rsidRPr="00F07217" w:rsidR="00E65DEB" w:rsidTr="0919D965" w14:paraId="691F8551" w14:textId="77777777">
        <w:trPr>
          <w:trHeight w:val="650"/>
        </w:trPr>
        <w:tc>
          <w:tcPr>
            <w:tcW w:w="11483" w:type="dxa"/>
            <w:gridSpan w:val="10"/>
            <w:tcBorders>
              <w:top w:val="single" w:color="auto" w:sz="4" w:space="0"/>
              <w:left w:val="single" w:color="auto" w:sz="4" w:space="0"/>
              <w:bottom w:val="single" w:color="auto" w:sz="4" w:space="0"/>
              <w:right w:val="single" w:color="auto" w:sz="4" w:space="0"/>
            </w:tcBorders>
            <w:shd w:val="clear" w:color="auto" w:fill="FFFF00"/>
            <w:tcMar/>
          </w:tcPr>
          <w:p w:rsidRPr="00523D39" w:rsidR="00E65DEB" w:rsidRDefault="00606867" w14:paraId="052E0933" w14:textId="4EFF69F2">
            <w:pPr>
              <w:jc w:val="both"/>
              <w:rPr>
                <w:rFonts w:ascii="Cambria" w:hAnsi="Cambria"/>
                <w:b/>
                <w:bCs/>
                <w:sz w:val="20"/>
                <w:szCs w:val="20"/>
              </w:rPr>
            </w:pPr>
            <w:r w:rsidRPr="00523D39">
              <w:rPr>
                <w:rFonts w:ascii="Cambria" w:hAnsi="Cambria"/>
                <w:b/>
                <w:bCs/>
                <w:sz w:val="20"/>
                <w:szCs w:val="20"/>
              </w:rPr>
              <w:t>Course:</w:t>
            </w:r>
            <w:r w:rsidRPr="00523D39" w:rsidR="00866227">
              <w:rPr>
                <w:rFonts w:ascii="Cambria" w:hAnsi="Cambria"/>
                <w:b/>
                <w:bCs/>
                <w:sz w:val="20"/>
                <w:szCs w:val="20"/>
              </w:rPr>
              <w:t xml:space="preserve"> </w:t>
            </w:r>
          </w:p>
          <w:p w:rsidRPr="00523D39" w:rsidR="00AE0D6F" w:rsidP="009D30D2" w:rsidRDefault="00EE1D6A" w14:paraId="69F14CE3" w14:textId="3F574C10">
            <w:pPr>
              <w:jc w:val="center"/>
              <w:rPr>
                <w:rFonts w:ascii="Cambria" w:hAnsi="Cambria"/>
                <w:b/>
                <w:bCs/>
                <w:sz w:val="20"/>
                <w:szCs w:val="20"/>
              </w:rPr>
            </w:pPr>
            <w:r w:rsidRPr="00523D39">
              <w:rPr>
                <w:rFonts w:ascii="Cambria" w:hAnsi="Cambria"/>
                <w:b/>
                <w:bCs/>
                <w:sz w:val="20"/>
                <w:szCs w:val="20"/>
              </w:rPr>
              <w:t xml:space="preserve"> </w:t>
            </w:r>
            <w:r w:rsidRPr="00523D39" w:rsidR="009D30D2">
              <w:rPr>
                <w:rFonts w:ascii="Cambria" w:hAnsi="Cambria"/>
                <w:b/>
                <w:bCs/>
                <w:sz w:val="20"/>
                <w:szCs w:val="20"/>
              </w:rPr>
              <w:t>‘Working creatively with others to enhance life chances’</w:t>
            </w:r>
          </w:p>
        </w:tc>
      </w:tr>
      <w:tr w:rsidRPr="00F07217" w:rsidR="004009A7" w:rsidTr="0919D965" w14:paraId="06170D5F" w14:textId="77777777">
        <w:trPr>
          <w:trHeight w:val="126"/>
        </w:trPr>
        <w:tc>
          <w:tcPr>
            <w:tcW w:w="2792"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CD2C8F6" w14:textId="5D848E3C">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D745CE3" w14:textId="77777777">
            <w:pPr>
              <w:jc w:val="both"/>
              <w:rPr>
                <w:rFonts w:ascii="Cambria" w:hAnsi="Cambria"/>
                <w:b/>
                <w:bCs/>
                <w:sz w:val="20"/>
                <w:szCs w:val="20"/>
              </w:rPr>
            </w:pPr>
          </w:p>
        </w:tc>
        <w:tc>
          <w:tcPr>
            <w:tcW w:w="2851" w:type="dxa"/>
            <w:gridSpan w:val="3"/>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41C29F0" w14:textId="3FCFA465">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949FA60" w14:textId="3FE2047B">
            <w:pPr>
              <w:jc w:val="both"/>
              <w:rPr>
                <w:rFonts w:ascii="Cambria" w:hAnsi="Cambria"/>
                <w:b/>
                <w:bCs/>
                <w:sz w:val="20"/>
                <w:szCs w:val="20"/>
              </w:rPr>
            </w:pPr>
          </w:p>
        </w:tc>
      </w:tr>
      <w:tr w:rsidRPr="00F07217" w:rsidR="004009A7" w:rsidTr="0919D965" w14:paraId="7196D986" w14:textId="77777777">
        <w:trPr>
          <w:trHeight w:val="123"/>
        </w:trPr>
        <w:tc>
          <w:tcPr>
            <w:tcW w:w="2792"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449CC42" w14:textId="1934EA31">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E2DD972" w14:textId="77777777">
            <w:pPr>
              <w:jc w:val="both"/>
              <w:rPr>
                <w:rFonts w:ascii="Cambria" w:hAnsi="Cambria"/>
                <w:b/>
                <w:bCs/>
                <w:sz w:val="20"/>
                <w:szCs w:val="20"/>
              </w:rPr>
            </w:pPr>
          </w:p>
        </w:tc>
        <w:tc>
          <w:tcPr>
            <w:tcW w:w="2851" w:type="dxa"/>
            <w:gridSpan w:val="3"/>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FFB993F" w14:textId="02556042">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7061C386" w14:textId="2A2063ED">
            <w:pPr>
              <w:jc w:val="both"/>
              <w:rPr>
                <w:rFonts w:ascii="Cambria" w:hAnsi="Cambria"/>
                <w:b w:val="1"/>
                <w:bCs w:val="1"/>
                <w:sz w:val="20"/>
                <w:szCs w:val="20"/>
              </w:rPr>
            </w:pPr>
            <w:r w:rsidRPr="0919D965" w:rsidR="4C7D467D">
              <w:rPr>
                <w:rFonts w:ascii="Cambria" w:hAnsi="Cambria"/>
                <w:b w:val="1"/>
                <w:bCs w:val="1"/>
                <w:sz w:val="20"/>
                <w:szCs w:val="20"/>
              </w:rPr>
              <w:t xml:space="preserve">Developmental </w:t>
            </w:r>
          </w:p>
        </w:tc>
      </w:tr>
      <w:tr w:rsidRPr="00F07217" w:rsidR="004009A7" w:rsidTr="0919D965" w14:paraId="4FBA03EC" w14:textId="77777777">
        <w:trPr>
          <w:trHeight w:val="123"/>
        </w:trPr>
        <w:tc>
          <w:tcPr>
            <w:tcW w:w="2792"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AC0749B" w14:textId="5072B3EB">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44641AB" w14:textId="77777777">
            <w:pPr>
              <w:jc w:val="both"/>
              <w:rPr>
                <w:rFonts w:ascii="Cambria" w:hAnsi="Cambria"/>
                <w:b/>
                <w:bCs/>
                <w:sz w:val="20"/>
                <w:szCs w:val="20"/>
              </w:rPr>
            </w:pPr>
          </w:p>
        </w:tc>
        <w:tc>
          <w:tcPr>
            <w:tcW w:w="2851" w:type="dxa"/>
            <w:gridSpan w:val="3"/>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651F684" w14:textId="4EB0854D">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4323CE9C" w14:textId="006C6DE4">
            <w:pPr>
              <w:jc w:val="both"/>
              <w:rPr>
                <w:rFonts w:ascii="Cambria" w:hAnsi="Cambria"/>
                <w:b/>
                <w:bCs/>
                <w:sz w:val="20"/>
                <w:szCs w:val="20"/>
              </w:rPr>
            </w:pPr>
          </w:p>
        </w:tc>
      </w:tr>
      <w:tr w:rsidRPr="00F07217" w:rsidR="004009A7" w:rsidTr="0919D965" w14:paraId="4FA3BD19" w14:textId="77777777">
        <w:trPr>
          <w:trHeight w:val="123"/>
        </w:trPr>
        <w:tc>
          <w:tcPr>
            <w:tcW w:w="2792"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D91E0C7" w14:textId="38D0AB5A">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5522F6" w14:paraId="5068FCC5" w14:textId="6C0C33A3">
            <w:pPr>
              <w:jc w:val="both"/>
              <w:rPr>
                <w:rFonts w:ascii="Cambria" w:hAnsi="Cambria"/>
                <w:b/>
                <w:bCs/>
                <w:sz w:val="20"/>
                <w:szCs w:val="20"/>
              </w:rPr>
            </w:pPr>
            <w:r>
              <w:rPr>
                <w:rFonts w:ascii="Cambria" w:hAnsi="Cambria"/>
                <w:b/>
                <w:bCs/>
                <w:sz w:val="20"/>
                <w:szCs w:val="20"/>
              </w:rPr>
              <w:t>PGCE History</w:t>
            </w:r>
          </w:p>
        </w:tc>
        <w:tc>
          <w:tcPr>
            <w:tcW w:w="2851" w:type="dxa"/>
            <w:gridSpan w:val="3"/>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66B60088" w14:textId="68058C76">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5522F6" w14:paraId="2E3558FD" w14:textId="5A7B4978">
            <w:pPr>
              <w:jc w:val="both"/>
              <w:rPr>
                <w:rFonts w:ascii="Cambria" w:hAnsi="Cambria"/>
                <w:b w:val="1"/>
                <w:bCs w:val="1"/>
                <w:sz w:val="20"/>
                <w:szCs w:val="20"/>
              </w:rPr>
            </w:pPr>
            <w:r w:rsidRPr="0919D965" w:rsidR="7A9F57EF">
              <w:rPr>
                <w:rFonts w:ascii="Cambria" w:hAnsi="Cambria"/>
                <w:b w:val="1"/>
                <w:bCs w:val="1"/>
                <w:sz w:val="20"/>
                <w:szCs w:val="20"/>
              </w:rPr>
              <w:t>4</w:t>
            </w:r>
            <w:r w:rsidRPr="0919D965" w:rsidR="005522F6">
              <w:rPr>
                <w:rFonts w:ascii="Cambria" w:hAnsi="Cambria"/>
                <w:b w:val="1"/>
                <w:bCs w:val="1"/>
                <w:sz w:val="20"/>
                <w:szCs w:val="20"/>
              </w:rPr>
              <w:t>.</w:t>
            </w:r>
            <w:r w:rsidRPr="0919D965" w:rsidR="13A3C722">
              <w:rPr>
                <w:rFonts w:ascii="Cambria" w:hAnsi="Cambria"/>
                <w:b w:val="1"/>
                <w:bCs w:val="1"/>
                <w:sz w:val="20"/>
                <w:szCs w:val="20"/>
              </w:rPr>
              <w:t>3</w:t>
            </w:r>
            <w:r w:rsidRPr="0919D965" w:rsidR="005522F6">
              <w:rPr>
                <w:rFonts w:ascii="Cambria" w:hAnsi="Cambria"/>
                <w:b w:val="1"/>
                <w:bCs w:val="1"/>
                <w:sz w:val="20"/>
                <w:szCs w:val="20"/>
              </w:rPr>
              <w:t>.2</w:t>
            </w:r>
            <w:r w:rsidRPr="0919D965" w:rsidR="2165BDE7">
              <w:rPr>
                <w:rFonts w:ascii="Cambria" w:hAnsi="Cambria"/>
                <w:b w:val="1"/>
                <w:bCs w:val="1"/>
                <w:sz w:val="20"/>
                <w:szCs w:val="20"/>
              </w:rPr>
              <w:t>4</w:t>
            </w:r>
          </w:p>
        </w:tc>
      </w:tr>
      <w:tr w:rsidRPr="00F07217" w:rsidR="001506CA" w:rsidTr="0919D965" w14:paraId="25B9C3C9" w14:textId="77777777">
        <w:trPr>
          <w:trHeight w:val="123"/>
        </w:trPr>
        <w:tc>
          <w:tcPr>
            <w:tcW w:w="2792"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1506CA" w14:paraId="7EF7721D" w14:textId="710BC591">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color="auto" w:sz="4" w:space="0"/>
              <w:left w:val="single" w:color="auto" w:sz="4" w:space="0"/>
              <w:bottom w:val="single" w:color="auto" w:sz="4" w:space="0"/>
              <w:right w:val="single" w:color="auto" w:sz="4" w:space="0"/>
            </w:tcBorders>
            <w:shd w:val="clear" w:color="auto" w:fill="auto"/>
            <w:tcMar/>
          </w:tcPr>
          <w:p w:rsidRPr="00484DB8" w:rsidR="001506CA" w:rsidP="005113AE" w:rsidRDefault="001506CA" w14:paraId="02A5213D" w14:textId="596149F4">
            <w:pPr>
              <w:jc w:val="center"/>
              <w:rPr>
                <w:rFonts w:ascii="Cambria" w:hAnsi="Cambria"/>
                <w:b/>
                <w:bCs/>
                <w:sz w:val="20"/>
                <w:szCs w:val="20"/>
                <w:highlight w:val="yellow"/>
              </w:rPr>
            </w:pPr>
            <w:r w:rsidRPr="00484DB8">
              <w:rPr>
                <w:rFonts w:ascii="Cambria" w:hAnsi="Cambria"/>
                <w:b/>
                <w:bCs/>
                <w:sz w:val="20"/>
                <w:szCs w:val="20"/>
                <w:highlight w:val="yellow"/>
              </w:rPr>
              <w:t>M</w:t>
            </w:r>
            <w:r w:rsidRPr="00484DB8" w:rsidR="005113AE">
              <w:rPr>
                <w:rFonts w:ascii="Cambria" w:hAnsi="Cambria"/>
                <w:b/>
                <w:bCs/>
                <w:sz w:val="20"/>
                <w:szCs w:val="20"/>
                <w:highlight w:val="yellow"/>
              </w:rPr>
              <w:t>onday</w:t>
            </w:r>
          </w:p>
        </w:tc>
        <w:tc>
          <w:tcPr>
            <w:tcW w:w="1690" w:type="dxa"/>
            <w:gridSpan w:val="2"/>
            <w:tcBorders>
              <w:top w:val="single" w:color="auto" w:sz="4" w:space="0"/>
              <w:left w:val="single" w:color="auto" w:sz="4" w:space="0"/>
              <w:bottom w:val="single" w:color="auto" w:sz="4" w:space="0"/>
              <w:right w:val="single" w:color="auto" w:sz="4" w:space="0"/>
            </w:tcBorders>
            <w:shd w:val="clear" w:color="auto" w:fill="auto"/>
            <w:tcMar/>
          </w:tcPr>
          <w:p w:rsidRPr="00484DB8" w:rsidR="001506CA" w:rsidP="005113AE" w:rsidRDefault="005113AE" w14:paraId="13F8C042" w14:textId="5CF285E3">
            <w:pPr>
              <w:jc w:val="center"/>
              <w:rPr>
                <w:rFonts w:ascii="Cambria" w:hAnsi="Cambria"/>
                <w:b/>
                <w:bCs/>
                <w:sz w:val="20"/>
                <w:szCs w:val="20"/>
                <w:highlight w:val="yellow"/>
              </w:rPr>
            </w:pPr>
            <w:r w:rsidRPr="00484DB8">
              <w:rPr>
                <w:rFonts w:ascii="Cambria" w:hAnsi="Cambria"/>
                <w:b/>
                <w:bCs/>
                <w:sz w:val="20"/>
                <w:szCs w:val="20"/>
                <w:highlight w:val="yellow"/>
              </w:rPr>
              <w:t>Tuesday</w:t>
            </w:r>
          </w:p>
        </w:tc>
        <w:tc>
          <w:tcPr>
            <w:tcW w:w="1719" w:type="dxa"/>
            <w:tcBorders>
              <w:top w:val="single" w:color="auto" w:sz="4" w:space="0"/>
              <w:left w:val="single" w:color="auto" w:sz="4" w:space="0"/>
              <w:bottom w:val="single" w:color="auto" w:sz="4" w:space="0"/>
              <w:right w:val="single" w:color="auto" w:sz="4" w:space="0"/>
            </w:tcBorders>
            <w:shd w:val="clear" w:color="auto" w:fill="auto"/>
            <w:tcMar/>
          </w:tcPr>
          <w:p w:rsidRPr="00484DB8" w:rsidR="001506CA" w:rsidP="005113AE" w:rsidRDefault="005113AE" w14:paraId="48F46611" w14:textId="7F56CFAC">
            <w:pPr>
              <w:jc w:val="center"/>
              <w:rPr>
                <w:rFonts w:ascii="Cambria" w:hAnsi="Cambria"/>
                <w:b/>
                <w:bCs/>
                <w:sz w:val="20"/>
                <w:szCs w:val="20"/>
                <w:highlight w:val="yellow"/>
              </w:rPr>
            </w:pPr>
            <w:r w:rsidRPr="00484DB8">
              <w:rPr>
                <w:rFonts w:ascii="Cambria" w:hAnsi="Cambria"/>
                <w:b/>
                <w:bCs/>
                <w:sz w:val="20"/>
                <w:szCs w:val="20"/>
                <w:highlight w:val="yellow"/>
              </w:rPr>
              <w:t>Wednesday</w:t>
            </w:r>
          </w:p>
        </w:tc>
        <w:tc>
          <w:tcPr>
            <w:tcW w:w="1699" w:type="dxa"/>
            <w:gridSpan w:val="2"/>
            <w:tcBorders>
              <w:top w:val="single" w:color="auto" w:sz="4" w:space="0"/>
              <w:left w:val="single" w:color="auto" w:sz="4" w:space="0"/>
              <w:bottom w:val="single" w:color="auto" w:sz="4" w:space="0"/>
              <w:right w:val="single" w:color="auto" w:sz="4" w:space="0"/>
            </w:tcBorders>
            <w:shd w:val="clear" w:color="auto" w:fill="auto"/>
            <w:tcMar/>
          </w:tcPr>
          <w:p w:rsidRPr="00484DB8" w:rsidR="001506CA" w:rsidP="005113AE" w:rsidRDefault="005113AE" w14:paraId="62FC6C98" w14:textId="6FCE8062">
            <w:pPr>
              <w:jc w:val="center"/>
              <w:rPr>
                <w:rFonts w:ascii="Cambria" w:hAnsi="Cambria"/>
                <w:b/>
                <w:bCs/>
                <w:sz w:val="20"/>
                <w:szCs w:val="20"/>
                <w:highlight w:val="yellow"/>
              </w:rPr>
            </w:pPr>
            <w:r w:rsidRPr="00484DB8">
              <w:rPr>
                <w:rFonts w:ascii="Cambria" w:hAnsi="Cambria"/>
                <w:b/>
                <w:bCs/>
                <w:sz w:val="20"/>
                <w:szCs w:val="20"/>
                <w:highlight w:val="yellow"/>
              </w:rPr>
              <w:t>Thursday</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tcMar/>
          </w:tcPr>
          <w:p w:rsidRPr="00484DB8" w:rsidR="001506CA" w:rsidP="005113AE" w:rsidRDefault="005113AE" w14:paraId="6F839360" w14:textId="12ADC1A0">
            <w:pPr>
              <w:jc w:val="center"/>
              <w:rPr>
                <w:rFonts w:ascii="Cambria" w:hAnsi="Cambria"/>
                <w:b/>
                <w:bCs/>
                <w:sz w:val="20"/>
                <w:szCs w:val="20"/>
                <w:highlight w:val="yellow"/>
              </w:rPr>
            </w:pPr>
            <w:r w:rsidRPr="00484DB8">
              <w:rPr>
                <w:rFonts w:ascii="Cambria" w:hAnsi="Cambria"/>
                <w:b/>
                <w:bCs/>
                <w:sz w:val="20"/>
                <w:szCs w:val="20"/>
                <w:highlight w:val="yellow"/>
              </w:rPr>
              <w:t>Friday</w:t>
            </w:r>
          </w:p>
        </w:tc>
      </w:tr>
      <w:tr w:rsidRPr="00F07217" w:rsidR="0057496A" w:rsidTr="0919D965" w14:paraId="0EB57F5F" w14:textId="77777777">
        <w:trPr>
          <w:trHeight w:val="650"/>
        </w:trPr>
        <w:tc>
          <w:tcPr>
            <w:tcW w:w="1887" w:type="dxa"/>
            <w:tcBorders>
              <w:top w:val="single" w:color="auto" w:sz="4" w:space="0"/>
              <w:left w:val="single" w:color="auto" w:sz="4" w:space="0"/>
              <w:bottom w:val="single" w:color="auto" w:sz="4" w:space="0"/>
              <w:right w:val="single" w:color="auto" w:sz="4" w:space="0"/>
            </w:tcBorders>
            <w:shd w:val="clear" w:color="auto" w:fill="auto"/>
            <w:tcMar/>
          </w:tcPr>
          <w:p w:rsidRPr="00523D39" w:rsidR="0057496A" w:rsidP="008A67D8" w:rsidRDefault="002D71BC" w14:paraId="211731FE" w14:textId="250F6EA0">
            <w:pPr>
              <w:rPr>
                <w:rFonts w:ascii="Cambria" w:hAnsi="Cambria"/>
                <w:b/>
                <w:bCs/>
                <w:sz w:val="20"/>
                <w:szCs w:val="20"/>
              </w:rPr>
            </w:pPr>
            <w:r w:rsidRPr="00523D39">
              <w:rPr>
                <w:rFonts w:ascii="Cambria" w:hAnsi="Cambria"/>
                <w:b/>
                <w:bCs/>
                <w:sz w:val="20"/>
                <w:szCs w:val="20"/>
              </w:rPr>
              <w:t>Key reading for the week</w:t>
            </w:r>
          </w:p>
          <w:p w:rsidRPr="00523D39" w:rsidR="005120DA" w:rsidP="005120DA" w:rsidRDefault="005120DA" w14:paraId="4E67F24B" w14:textId="11E5B013">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9"/>
            <w:tcBorders>
              <w:top w:val="single" w:color="auto" w:sz="4" w:space="0"/>
              <w:left w:val="single" w:color="auto" w:sz="4" w:space="0"/>
              <w:bottom w:val="single" w:color="auto" w:sz="4" w:space="0"/>
              <w:right w:val="single" w:color="auto" w:sz="4" w:space="0"/>
            </w:tcBorders>
            <w:shd w:val="clear" w:color="auto" w:fill="auto"/>
            <w:tcMar/>
          </w:tcPr>
          <w:p w:rsidR="245B783E" w:rsidP="0919D965" w:rsidRDefault="245B783E" w14:paraId="49F20885" w14:textId="48DE2185">
            <w:pPr>
              <w:shd w:val="clear" w:color="auto" w:fill="FFFFFF" w:themeFill="background1"/>
              <w:spacing w:before="0" w:beforeAutospacing="off" w:after="0" w:afterAutospacing="off" w:line="259" w:lineRule="auto"/>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919D965" w:rsidR="245B783E">
              <w:rPr>
                <w:rFonts w:ascii="Segoe UI" w:hAnsi="Segoe UI" w:eastAsia="Segoe UI" w:cs="Segoe UI"/>
                <w:b w:val="0"/>
                <w:bCs w:val="0"/>
                <w:i w:val="0"/>
                <w:iCs w:val="0"/>
                <w:caps w:val="0"/>
                <w:smallCaps w:val="0"/>
                <w:noProof w:val="0"/>
                <w:color w:val="000000" w:themeColor="text1" w:themeTint="FF" w:themeShade="FF"/>
                <w:sz w:val="24"/>
                <w:szCs w:val="24"/>
                <w:lang w:val="en-GB"/>
              </w:rPr>
              <w:t>Cordingley, P., Higgins, S., Greany, T., Buckler, N., Coles-Jordan, D., Crisp, B., Saunders, L. &amp; Coe, R. (2015) Developing Great Teaching</w:t>
            </w:r>
          </w:p>
          <w:p w:rsidR="0919D965" w:rsidP="0919D965" w:rsidRDefault="0919D965" w14:paraId="7ACCB1FA" w14:textId="3E354D33">
            <w:pPr>
              <w:shd w:val="clear" w:color="auto" w:fill="FFFFFF" w:themeFill="background1"/>
              <w:spacing w:before="0" w:beforeAutospacing="off" w:after="0" w:afterAutospacing="off" w:line="259" w:lineRule="auto"/>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245B783E" w:rsidP="0919D965" w:rsidRDefault="245B783E" w14:paraId="61FE3EB4" w14:textId="70C3AA23">
            <w:pPr>
              <w:shd w:val="clear" w:color="auto" w:fill="FFFFFF" w:themeFill="background1"/>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f9ce760c68fa4fdb">
              <w:r w:rsidRPr="0919D965" w:rsidR="245B783E">
                <w:rPr>
                  <w:rStyle w:val="Hyperlink"/>
                  <w:rFonts w:ascii="Segoe UI" w:hAnsi="Segoe UI" w:eastAsia="Segoe UI" w:cs="Segoe UI"/>
                  <w:b w:val="0"/>
                  <w:bCs w:val="0"/>
                  <w:i w:val="0"/>
                  <w:iCs w:val="0"/>
                  <w:caps w:val="0"/>
                  <w:smallCaps w:val="0"/>
                  <w:strike w:val="0"/>
                  <w:dstrike w:val="0"/>
                  <w:noProof w:val="0"/>
                  <w:sz w:val="24"/>
                  <w:szCs w:val="24"/>
                  <w:lang w:val="en-GB"/>
                </w:rPr>
                <w:t>https://tdtrust.org/wp-content/uploads/2015/10/DGT-Full-report.pdf</w:t>
              </w:r>
            </w:hyperlink>
          </w:p>
          <w:p w:rsidR="0919D965" w:rsidP="0919D965" w:rsidRDefault="0919D965" w14:paraId="6F4B9621" w14:textId="7233EA4F">
            <w:pPr>
              <w:shd w:val="clear" w:color="auto" w:fill="FFFFFF" w:themeFill="background1"/>
              <w:spacing w:before="0" w:beforeAutospacing="off" w:after="0" w:afterAutospacing="off" w:line="259" w:lineRule="auto"/>
              <w:rPr>
                <w:rFonts w:ascii="Segoe UI" w:hAnsi="Segoe UI" w:eastAsia="Segoe UI" w:cs="Segoe UI"/>
                <w:b w:val="0"/>
                <w:bCs w:val="0"/>
                <w:i w:val="0"/>
                <w:iCs w:val="0"/>
                <w:caps w:val="0"/>
                <w:smallCaps w:val="0"/>
                <w:noProof w:val="0"/>
                <w:color w:val="374151"/>
                <w:sz w:val="24"/>
                <w:szCs w:val="24"/>
                <w:lang w:val="en-US"/>
              </w:rPr>
            </w:pPr>
          </w:p>
          <w:p w:rsidR="245B783E" w:rsidP="0919D965" w:rsidRDefault="245B783E" w14:paraId="40FCE35F" w14:textId="1A03EB2C">
            <w:pPr>
              <w:shd w:val="clear" w:color="auto" w:fill="FFFFFF" w:themeFill="background1"/>
              <w:spacing w:before="0" w:beforeAutospacing="off" w:after="0" w:afterAutospacing="off" w:line="259" w:lineRule="auto"/>
              <w:rPr>
                <w:rFonts w:ascii="Segoe UI" w:hAnsi="Segoe UI" w:eastAsia="Segoe UI" w:cs="Segoe UI"/>
                <w:b w:val="0"/>
                <w:bCs w:val="0"/>
                <w:i w:val="0"/>
                <w:iCs w:val="0"/>
                <w:caps w:val="0"/>
                <w:smallCaps w:val="0"/>
                <w:noProof w:val="0"/>
                <w:color w:val="374151"/>
                <w:sz w:val="24"/>
                <w:szCs w:val="24"/>
                <w:lang w:val="en-US"/>
              </w:rPr>
            </w:pPr>
            <w:r w:rsidRPr="0919D965" w:rsidR="245B783E">
              <w:rPr>
                <w:rFonts w:ascii="Segoe UI" w:hAnsi="Segoe UI" w:eastAsia="Segoe UI" w:cs="Segoe UI"/>
                <w:b w:val="1"/>
                <w:bCs w:val="1"/>
                <w:i w:val="0"/>
                <w:iCs w:val="0"/>
                <w:caps w:val="0"/>
                <w:smallCaps w:val="0"/>
                <w:noProof w:val="0"/>
                <w:color w:val="374151"/>
                <w:sz w:val="24"/>
                <w:szCs w:val="24"/>
                <w:lang w:val="en-GB"/>
              </w:rPr>
              <w:t>Summary</w:t>
            </w:r>
          </w:p>
          <w:p w:rsidR="245B783E" w:rsidP="0919D965" w:rsidRDefault="245B783E" w14:paraId="053C9896" w14:textId="1356ADEF">
            <w:pPr>
              <w:shd w:val="clear" w:color="auto" w:fill="FFFFFF" w:themeFill="background1"/>
              <w:spacing w:before="0" w:beforeAutospacing="off" w:after="0" w:afterAutospacing="off" w:line="259" w:lineRule="auto"/>
              <w:rPr>
                <w:rFonts w:ascii="Segoe UI" w:hAnsi="Segoe UI" w:eastAsia="Segoe UI" w:cs="Segoe UI"/>
                <w:b w:val="0"/>
                <w:bCs w:val="0"/>
                <w:i w:val="0"/>
                <w:iCs w:val="0"/>
                <w:caps w:val="0"/>
                <w:smallCaps w:val="0"/>
                <w:noProof w:val="0"/>
                <w:color w:val="374151"/>
                <w:sz w:val="24"/>
                <w:szCs w:val="24"/>
                <w:lang w:val="en-US"/>
              </w:rPr>
            </w:pPr>
            <w:r w:rsidRPr="0919D965" w:rsidR="245B783E">
              <w:rPr>
                <w:rFonts w:ascii="Segoe UI" w:hAnsi="Segoe UI" w:eastAsia="Segoe UI" w:cs="Segoe UI"/>
                <w:b w:val="0"/>
                <w:bCs w:val="0"/>
                <w:i w:val="0"/>
                <w:iCs w:val="0"/>
                <w:caps w:val="0"/>
                <w:smallCaps w:val="0"/>
                <w:noProof w:val="0"/>
                <w:color w:val="374151"/>
                <w:sz w:val="24"/>
                <w:szCs w:val="24"/>
                <w:lang w:val="en-GB"/>
              </w:rPr>
              <w:t xml:space="preserve"> </w:t>
            </w:r>
          </w:p>
          <w:p w:rsidR="245B783E" w:rsidP="0919D965" w:rsidRDefault="245B783E" w14:paraId="7AC75B51" w14:textId="3C6F7F99">
            <w:pPr>
              <w:shd w:val="clear" w:color="auto" w:fill="FFFFFF" w:themeFill="background1"/>
              <w:spacing w:before="0" w:beforeAutospacing="off" w:after="0" w:afterAutospacing="off" w:line="259" w:lineRule="auto"/>
              <w:rPr>
                <w:rFonts w:ascii="Segoe UI" w:hAnsi="Segoe UI" w:eastAsia="Segoe UI" w:cs="Segoe UI"/>
                <w:b w:val="0"/>
                <w:bCs w:val="0"/>
                <w:i w:val="0"/>
                <w:iCs w:val="0"/>
                <w:caps w:val="0"/>
                <w:smallCaps w:val="0"/>
                <w:noProof w:val="0"/>
                <w:color w:val="374151"/>
                <w:sz w:val="24"/>
                <w:szCs w:val="24"/>
                <w:lang w:val="en-US"/>
              </w:rPr>
            </w:pPr>
            <w:r w:rsidRPr="0919D965" w:rsidR="245B783E">
              <w:rPr>
                <w:rFonts w:ascii="Segoe UI" w:hAnsi="Segoe UI" w:eastAsia="Segoe UI" w:cs="Segoe UI"/>
                <w:b w:val="0"/>
                <w:bCs w:val="0"/>
                <w:i w:val="0"/>
                <w:iCs w:val="0"/>
                <w:caps w:val="0"/>
                <w:smallCaps w:val="0"/>
                <w:noProof w:val="0"/>
                <w:color w:val="374151"/>
                <w:sz w:val="24"/>
                <w:szCs w:val="24"/>
                <w:lang w:val="en-GB"/>
              </w:rPr>
              <w:t>This research highlights concerns of the effectiveness of CPD in English schools and proposes using evidence-based research. It recommends sustained CPD duration, targeted follow-up, and participant-centred design. It also emphasises the significance of integrating subject specificity and pedagogic knowledge. Effective CPD could require external expertise, supportive leadership, clear learning goals, and collaboration. Teachers are urged to prioritise pupil oriented CPD and discuss the impact and effectiveness of the CPD together in a collegiate manor. This approach will facilitate meaningful professional growth and improve teaching quality.</w:t>
            </w:r>
          </w:p>
          <w:p w:rsidR="245B783E" w:rsidP="0919D965" w:rsidRDefault="245B783E" w14:paraId="0EC709A5" w14:textId="42C567EC">
            <w:pPr>
              <w:shd w:val="clear" w:color="auto" w:fill="FFFFFF" w:themeFill="background1"/>
              <w:spacing w:before="0" w:beforeAutospacing="off" w:after="0" w:afterAutospacing="off" w:line="259" w:lineRule="auto"/>
              <w:rPr>
                <w:rFonts w:ascii="Segoe UI" w:hAnsi="Segoe UI" w:eastAsia="Segoe UI" w:cs="Segoe UI"/>
                <w:b w:val="0"/>
                <w:bCs w:val="0"/>
                <w:i w:val="0"/>
                <w:iCs w:val="0"/>
                <w:caps w:val="0"/>
                <w:smallCaps w:val="0"/>
                <w:noProof w:val="0"/>
                <w:color w:val="374151"/>
                <w:sz w:val="24"/>
                <w:szCs w:val="24"/>
                <w:lang w:val="en-US"/>
              </w:rPr>
            </w:pPr>
            <w:r w:rsidRPr="0919D965" w:rsidR="245B783E">
              <w:rPr>
                <w:rFonts w:ascii="Segoe UI" w:hAnsi="Segoe UI" w:eastAsia="Segoe UI" w:cs="Segoe UI"/>
                <w:b w:val="0"/>
                <w:bCs w:val="0"/>
                <w:i w:val="0"/>
                <w:iCs w:val="0"/>
                <w:caps w:val="0"/>
                <w:smallCaps w:val="0"/>
                <w:noProof w:val="0"/>
                <w:color w:val="374151"/>
                <w:sz w:val="24"/>
                <w:szCs w:val="24"/>
                <w:lang w:val="en-GB"/>
              </w:rPr>
              <w:t xml:space="preserve"> </w:t>
            </w:r>
          </w:p>
          <w:p w:rsidR="245B783E" w:rsidP="0919D965" w:rsidRDefault="245B783E" w14:paraId="729E002B" w14:textId="05DE6162">
            <w:pPr>
              <w:shd w:val="clear" w:color="auto" w:fill="FFFFFF" w:themeFill="background1"/>
              <w:spacing w:before="0" w:beforeAutospacing="off" w:after="0" w:afterAutospacing="off" w:line="259" w:lineRule="auto"/>
              <w:rPr>
                <w:rFonts w:ascii="Segoe UI" w:hAnsi="Segoe UI" w:eastAsia="Segoe UI" w:cs="Segoe UI"/>
                <w:b w:val="0"/>
                <w:bCs w:val="0"/>
                <w:i w:val="0"/>
                <w:iCs w:val="0"/>
                <w:caps w:val="0"/>
                <w:smallCaps w:val="0"/>
                <w:noProof w:val="0"/>
                <w:color w:val="374151"/>
                <w:sz w:val="24"/>
                <w:szCs w:val="24"/>
                <w:lang w:val="en-US"/>
              </w:rPr>
            </w:pPr>
            <w:r w:rsidRPr="0919D965" w:rsidR="245B783E">
              <w:rPr>
                <w:rFonts w:ascii="Segoe UI" w:hAnsi="Segoe UI" w:eastAsia="Segoe UI" w:cs="Segoe UI"/>
                <w:b w:val="1"/>
                <w:bCs w:val="1"/>
                <w:i w:val="0"/>
                <w:iCs w:val="0"/>
                <w:caps w:val="0"/>
                <w:smallCaps w:val="0"/>
                <w:noProof w:val="0"/>
                <w:color w:val="374151"/>
                <w:sz w:val="24"/>
                <w:szCs w:val="24"/>
                <w:lang w:val="en-GB"/>
              </w:rPr>
              <w:t>Limitations</w:t>
            </w:r>
            <w:r w:rsidRPr="0919D965" w:rsidR="245B783E">
              <w:rPr>
                <w:rFonts w:ascii="Segoe UI" w:hAnsi="Segoe UI" w:eastAsia="Segoe UI" w:cs="Segoe UI"/>
                <w:b w:val="0"/>
                <w:bCs w:val="0"/>
                <w:i w:val="0"/>
                <w:iCs w:val="0"/>
                <w:caps w:val="0"/>
                <w:smallCaps w:val="0"/>
                <w:noProof w:val="0"/>
                <w:color w:val="374151"/>
                <w:sz w:val="24"/>
                <w:szCs w:val="24"/>
                <w:lang w:val="en-GB"/>
              </w:rPr>
              <w:t xml:space="preserve"> – misses most recent evidence published. Also, the scope of research was taken exclusively from English language reviews. The research adopted a medical approach to research rather than an educational one.</w:t>
            </w:r>
          </w:p>
          <w:p w:rsidR="0919D965" w:rsidP="0919D965" w:rsidRDefault="0919D965" w14:paraId="71E9502E" w14:textId="00404994">
            <w:pPr>
              <w:pStyle w:val="paragraph"/>
              <w:spacing w:before="0" w:beforeAutospacing="off" w:after="0" w:afterAutospacing="off"/>
              <w:jc w:val="both"/>
              <w:rPr>
                <w:rStyle w:val="eop"/>
                <w:rFonts w:eastAsia="Calibri"/>
                <w:sz w:val="22"/>
                <w:szCs w:val="22"/>
                <w:lang w:val="en-US"/>
              </w:rPr>
            </w:pPr>
          </w:p>
          <w:p w:rsidRPr="00523D39" w:rsidR="00866227" w:rsidP="00F45E23" w:rsidRDefault="00866227" w14:paraId="6071F449" w14:textId="1A8932F4">
            <w:pPr>
              <w:jc w:val="both"/>
              <w:rPr>
                <w:rFonts w:ascii="Cambria" w:hAnsi="Cambria" w:cstheme="minorHAnsi"/>
                <w:b/>
                <w:bCs/>
                <w:sz w:val="20"/>
                <w:szCs w:val="20"/>
              </w:rPr>
            </w:pPr>
          </w:p>
        </w:tc>
      </w:tr>
      <w:tr w:rsidRPr="00F07217" w:rsidR="00B5000E" w:rsidTr="0919D965" w14:paraId="0811EF35" w14:textId="77777777">
        <w:trPr>
          <w:trHeight w:val="650"/>
        </w:trPr>
        <w:tc>
          <w:tcPr>
            <w:tcW w:w="1887" w:type="dxa"/>
            <w:tcBorders>
              <w:top w:val="single" w:color="auto" w:sz="4" w:space="0"/>
              <w:left w:val="single" w:color="auto" w:sz="4" w:space="0"/>
              <w:bottom w:val="single" w:color="auto" w:sz="4" w:space="0"/>
              <w:right w:val="single" w:color="auto" w:sz="4" w:space="0"/>
            </w:tcBorders>
            <w:shd w:val="clear" w:color="auto" w:fill="auto"/>
            <w:tcMar/>
          </w:tcPr>
          <w:p w:rsidRPr="00523D39" w:rsidR="00B5000E" w:rsidP="00B5000E" w:rsidRDefault="00B5000E" w14:paraId="10E114CD" w14:textId="2DA3B95B">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Support for mentoring</w:t>
            </w:r>
            <w:r w:rsidRPr="00523D39" w:rsidR="00403E3F">
              <w:rPr>
                <w:rFonts w:ascii="Cambria" w:hAnsi="Cambria" w:eastAsia="Georgia" w:cs="Georgia"/>
                <w:b/>
                <w:sz w:val="20"/>
                <w:szCs w:val="20"/>
              </w:rPr>
              <w:t xml:space="preserve"> i</w:t>
            </w:r>
            <w:r w:rsidRPr="00523D39" w:rsidR="008235B7">
              <w:rPr>
                <w:rFonts w:ascii="Cambria" w:hAnsi="Cambria" w:eastAsia="Georgia" w:cs="Georgia"/>
                <w:b/>
                <w:sz w:val="20"/>
                <w:szCs w:val="20"/>
              </w:rPr>
              <w:t xml:space="preserve">n </w:t>
            </w:r>
            <w:r w:rsidRPr="00523D39" w:rsidR="00D12C87">
              <w:rPr>
                <w:rFonts w:ascii="Cambria" w:hAnsi="Cambria" w:eastAsia="Georgia" w:cs="Georgia"/>
                <w:b/>
                <w:sz w:val="20"/>
                <w:szCs w:val="20"/>
              </w:rPr>
              <w:t>this subject</w:t>
            </w:r>
          </w:p>
          <w:p w:rsidRPr="00523D39" w:rsidR="00B5000E" w:rsidP="00B5000E" w:rsidRDefault="00B5000E" w14:paraId="25E7C692" w14:textId="77777777">
            <w:pPr>
              <w:spacing w:line="237" w:lineRule="auto"/>
              <w:jc w:val="center"/>
              <w:rPr>
                <w:rFonts w:ascii="Cambria" w:hAnsi="Cambria" w:eastAsia="Georgia" w:cs="Georgia"/>
                <w:b/>
                <w:sz w:val="20"/>
                <w:szCs w:val="20"/>
              </w:rPr>
            </w:pPr>
          </w:p>
          <w:p w:rsidRPr="00523D39" w:rsidR="00B5000E" w:rsidP="00560FE2" w:rsidRDefault="00B5000E" w14:paraId="7314DB2E" w14:textId="47B98BEB">
            <w:pPr>
              <w:jc w:val="center"/>
              <w:rPr>
                <w:rFonts w:ascii="Cambria" w:hAnsi="Cambria"/>
                <w:b/>
                <w:bCs/>
                <w:sz w:val="20"/>
                <w:szCs w:val="20"/>
              </w:rPr>
            </w:pPr>
            <w:r w:rsidRPr="00523D39">
              <w:rPr>
                <w:rFonts w:ascii="Cambria" w:hAnsi="Cambria"/>
                <w:noProof/>
                <w:sz w:val="20"/>
                <w:szCs w:val="20"/>
              </w:rPr>
              <w:lastRenderedPageBreak/>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9"/>
            <w:tcBorders>
              <w:top w:val="single" w:color="auto" w:sz="4" w:space="0"/>
              <w:left w:val="single" w:color="auto" w:sz="4" w:space="0"/>
              <w:bottom w:val="single" w:color="auto" w:sz="4" w:space="0"/>
              <w:right w:val="single" w:color="auto" w:sz="4" w:space="0"/>
            </w:tcBorders>
            <w:shd w:val="clear" w:color="auto" w:fill="auto"/>
            <w:tcMar/>
          </w:tcPr>
          <w:p w:rsidR="2AC20EA2" w:rsidP="0919D965" w:rsidRDefault="2AC20EA2" w14:paraId="4C885591" w14:textId="4C9A0E6D">
            <w:pPr>
              <w:pStyle w:val="xmsolistparagraph"/>
              <w:spacing w:before="0" w:beforeAutospacing="off" w:after="0" w:afterAutospacing="off" w:line="240" w:lineRule="auto"/>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0919D965" w:rsidR="2AC20EA2">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Alka Sehgal Cuthbert and Alex Standish (eds.), What Should Schools Teach. UCL Press: London.  (Christine Counsell: chapter 9)  </w:t>
            </w:r>
          </w:p>
          <w:p w:rsidR="0919D965" w:rsidP="0919D965" w:rsidRDefault="0919D965" w14:paraId="724D717F" w14:textId="2DD9C87E">
            <w:pPr>
              <w:spacing w:before="0" w:beforeAutospacing="off" w:after="0" w:afterAutospacing="off" w:line="240" w:lineRule="auto"/>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2AC20EA2" w:rsidP="0919D965" w:rsidRDefault="2AC20EA2" w14:paraId="511E4D86" w14:textId="084E7616">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hyperlink r:id="R203c3303a98a4227">
              <w:r w:rsidRPr="0919D965" w:rsidR="2AC20EA2">
                <w:rPr>
                  <w:rStyle w:val="Hyperlink"/>
                  <w:rFonts w:ascii="Times New Roman" w:hAnsi="Times New Roman" w:eastAsia="Times New Roman" w:cs="Times New Roman"/>
                  <w:b w:val="0"/>
                  <w:bCs w:val="0"/>
                  <w:i w:val="0"/>
                  <w:iCs w:val="0"/>
                  <w:caps w:val="0"/>
                  <w:smallCaps w:val="0"/>
                  <w:strike w:val="0"/>
                  <w:dstrike w:val="0"/>
                  <w:noProof w:val="0"/>
                  <w:sz w:val="24"/>
                  <w:szCs w:val="24"/>
                  <w:lang w:val="en-GB"/>
                </w:rPr>
                <w:t>https://edgehill.on.worldcat.org/oclc/1001316091</w:t>
              </w:r>
            </w:hyperlink>
          </w:p>
          <w:p w:rsidR="0919D965" w:rsidP="0919D965" w:rsidRDefault="0919D965" w14:paraId="06E49CB1" w14:textId="5F946A48">
            <w:pPr>
              <w:pStyle w:val="xmsolistparagraph"/>
              <w:shd w:val="clear" w:color="auto" w:fill="FFFFFF" w:themeFill="background1"/>
              <w:spacing w:after="0"/>
              <w:rPr>
                <w:rFonts w:ascii="Aptos" w:hAnsi="Aptos" w:cs="Calibri"/>
                <w:color w:val="201F1E"/>
              </w:rPr>
            </w:pPr>
          </w:p>
          <w:p w:rsidRPr="00523D39" w:rsidR="00DB662F" w:rsidP="00DB662F" w:rsidRDefault="00DB662F" w14:paraId="02295E43" w14:textId="3F0E402F">
            <w:pPr>
              <w:pStyle w:val="xmsolistparagraph"/>
              <w:shd w:val="clear" w:color="auto" w:fill="FFFFFF"/>
              <w:spacing w:after="0"/>
              <w:rPr>
                <w:rFonts w:ascii="Cambria" w:hAnsi="Cambria" w:cstheme="minorHAnsi"/>
                <w:b/>
                <w:bCs/>
                <w:sz w:val="20"/>
                <w:szCs w:val="20"/>
              </w:rPr>
            </w:pPr>
          </w:p>
        </w:tc>
      </w:tr>
      <w:tr w:rsidRPr="00F07217" w:rsidR="00403E3F" w:rsidTr="0919D965" w14:paraId="242BC6CD" w14:textId="77777777">
        <w:trPr>
          <w:trHeight w:val="262"/>
        </w:trPr>
        <w:tc>
          <w:tcPr>
            <w:tcW w:w="1887" w:type="dxa"/>
            <w:vMerge w:val="restart"/>
            <w:tcBorders>
              <w:top w:val="single" w:color="auto" w:sz="4" w:space="0"/>
              <w:left w:val="single" w:color="auto" w:sz="4" w:space="0"/>
              <w:right w:val="single" w:color="auto" w:sz="4" w:space="0"/>
            </w:tcBorders>
            <w:tcMar/>
          </w:tcPr>
          <w:p w:rsidRPr="00523D39" w:rsidR="00403E3F" w:rsidP="00403E3F" w:rsidRDefault="00403E3F" w14:paraId="22257974" w14:textId="53252047">
            <w:pPr>
              <w:spacing w:line="237" w:lineRule="auto"/>
              <w:jc w:val="center"/>
              <w:rPr>
                <w:rFonts w:ascii="Cambria" w:hAnsi="Cambria"/>
                <w:b/>
                <w:bCs/>
                <w:sz w:val="20"/>
                <w:szCs w:val="20"/>
              </w:rPr>
            </w:pPr>
          </w:p>
          <w:p w:rsidRPr="00523D39" w:rsidR="00403E3F" w:rsidP="00403E3F" w:rsidRDefault="00403E3F" w14:paraId="323B0429" w14:textId="77777777">
            <w:pPr>
              <w:spacing w:line="237" w:lineRule="auto"/>
              <w:jc w:val="center"/>
              <w:rPr>
                <w:rFonts w:ascii="Cambria" w:hAnsi="Cambria"/>
                <w:b/>
                <w:bCs/>
                <w:sz w:val="20"/>
                <w:szCs w:val="20"/>
              </w:rPr>
            </w:pPr>
          </w:p>
          <w:p w:rsidRPr="00523D39" w:rsidR="00403E3F" w:rsidP="00403E3F" w:rsidRDefault="00403E3F" w14:paraId="794A60FE" w14:textId="12B12DE9">
            <w:pPr>
              <w:spacing w:line="237" w:lineRule="auto"/>
              <w:jc w:val="center"/>
              <w:rPr>
                <w:rFonts w:ascii="Cambria" w:hAnsi="Cambria"/>
                <w:b/>
                <w:bCs/>
                <w:sz w:val="20"/>
                <w:szCs w:val="20"/>
              </w:rPr>
            </w:pPr>
            <w:r w:rsidRPr="00523D39">
              <w:rPr>
                <w:rFonts w:ascii="Cambria" w:hAnsi="Cambria"/>
                <w:b/>
                <w:bCs/>
                <w:sz w:val="20"/>
                <w:szCs w:val="20"/>
              </w:rPr>
              <w:t>Curriculum for the week</w:t>
            </w:r>
          </w:p>
          <w:p w:rsidRPr="00523D39" w:rsidR="00403E3F" w:rsidP="00403E3F" w:rsidRDefault="00403E3F" w14:paraId="3577F80B" w14:textId="77777777">
            <w:pPr>
              <w:rPr>
                <w:rFonts w:ascii="Cambria" w:hAnsi="Cambria"/>
                <w:sz w:val="20"/>
                <w:szCs w:val="20"/>
              </w:rPr>
            </w:pPr>
            <w:r w:rsidRPr="00523D39">
              <w:rPr>
                <w:rFonts w:ascii="Cambria" w:hAnsi="Cambria" w:eastAsia="Georgia" w:cs="Georgia"/>
                <w:sz w:val="20"/>
                <w:szCs w:val="20"/>
              </w:rPr>
              <w:t xml:space="preserve"> </w:t>
            </w:r>
          </w:p>
          <w:p w:rsidRPr="00523D39" w:rsidR="00403E3F" w:rsidP="00403E3F" w:rsidRDefault="00403E3F" w14:paraId="56739CEE" w14:textId="2D653E4C">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8"/>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360ABAE5" w14:textId="3177A167">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6BF6678C" w14:textId="77777777">
            <w:pPr>
              <w:jc w:val="center"/>
              <w:rPr>
                <w:rFonts w:ascii="Cambria" w:hAnsi="Cambria"/>
                <w:b/>
                <w:bCs/>
                <w:sz w:val="20"/>
                <w:szCs w:val="20"/>
              </w:rPr>
            </w:pPr>
            <w:r w:rsidRPr="00523D39">
              <w:rPr>
                <w:rFonts w:ascii="Cambria" w:hAnsi="Cambria"/>
                <w:b/>
                <w:bCs/>
                <w:sz w:val="20"/>
                <w:szCs w:val="20"/>
              </w:rPr>
              <w:t>Y/N</w:t>
            </w:r>
          </w:p>
          <w:p w:rsidRPr="00523D39" w:rsidR="00403E3F" w:rsidP="00403E3F" w:rsidRDefault="00403E3F" w14:paraId="0E7E73C3" w14:textId="3E44AEE5">
            <w:pPr>
              <w:jc w:val="center"/>
              <w:rPr>
                <w:rFonts w:ascii="Cambria" w:hAnsi="Cambria"/>
                <w:b/>
                <w:bCs/>
                <w:sz w:val="20"/>
                <w:szCs w:val="20"/>
              </w:rPr>
            </w:pPr>
          </w:p>
        </w:tc>
      </w:tr>
      <w:tr w:rsidRPr="00F07217" w:rsidR="00CB44DE" w:rsidTr="0919D965" w14:paraId="75C24513" w14:textId="77777777">
        <w:trPr>
          <w:trHeight w:val="968"/>
        </w:trPr>
        <w:tc>
          <w:tcPr>
            <w:tcW w:w="1887" w:type="dxa"/>
            <w:vMerge/>
            <w:tcBorders/>
            <w:tcMar/>
          </w:tcPr>
          <w:p w:rsidRPr="00523D39" w:rsidR="00CB44DE" w:rsidP="00B5000E" w:rsidRDefault="00CB44DE" w14:paraId="38A28802" w14:textId="77777777">
            <w:pPr>
              <w:spacing w:line="237" w:lineRule="auto"/>
              <w:jc w:val="center"/>
              <w:rPr>
                <w:rFonts w:ascii="Cambria" w:hAnsi="Cambria"/>
                <w:b/>
                <w:bCs/>
                <w:sz w:val="20"/>
                <w:szCs w:val="20"/>
              </w:rPr>
            </w:pPr>
          </w:p>
        </w:tc>
        <w:tc>
          <w:tcPr>
            <w:tcW w:w="8939" w:type="dxa"/>
            <w:gridSpan w:val="8"/>
            <w:tcBorders>
              <w:top w:val="single" w:color="auto" w:sz="4" w:space="0"/>
              <w:left w:val="single" w:color="auto" w:sz="4" w:space="0"/>
              <w:bottom w:val="single" w:color="auto" w:sz="4" w:space="0"/>
              <w:right w:val="single" w:color="auto" w:sz="4" w:space="0"/>
            </w:tcBorders>
            <w:tcMar/>
          </w:tcPr>
          <w:p w:rsidR="24DFAA60" w:rsidP="0919D965" w:rsidRDefault="24DFAA60" w14:paraId="15038645" w14:textId="6CDE9224">
            <w:pPr>
              <w:pStyle w:val="paragraph"/>
              <w:numPr>
                <w:ilvl w:val="0"/>
                <w:numId w:val="5"/>
              </w:numPr>
              <w:spacing w:before="0" w:beforeAutospacing="off" w:after="0" w:afterAutospacing="off"/>
              <w:ind w:left="1080" w:firstLine="0"/>
              <w:jc w:val="both"/>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0919D965" w:rsidR="24DFAA6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Teachers have a responsibility to strengthen pedagogical and subject knowledge by </w:t>
            </w:r>
            <w:r w:rsidRPr="0919D965" w:rsidR="24DFAA6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participating</w:t>
            </w:r>
            <w:r w:rsidRPr="0919D965" w:rsidR="24DFAA6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 in wider networks such as Historical Association. </w:t>
            </w:r>
          </w:p>
          <w:p w:rsidR="24DFAA60" w:rsidP="0919D965" w:rsidRDefault="24DFAA60" w14:paraId="1A335BAD" w14:textId="5ADD1C83">
            <w:pPr>
              <w:pStyle w:val="paragraph"/>
              <w:numPr>
                <w:ilvl w:val="0"/>
                <w:numId w:val="5"/>
              </w:numPr>
              <w:spacing w:before="0" w:beforeAutospacing="off" w:after="0" w:afterAutospacing="off"/>
              <w:ind w:left="1080" w:firstLine="0"/>
              <w:jc w:val="both"/>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0919D965" w:rsidR="24DFAA6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Educational research informs practise, for example polycentric narratives and parallel histories to diversify the history curriculum.</w:t>
            </w:r>
          </w:p>
          <w:p w:rsidR="24DFAA60" w:rsidP="0919D965" w:rsidRDefault="24DFAA60" w14:paraId="4082C703" w14:textId="103D4C3E">
            <w:pPr>
              <w:pStyle w:val="paragraph"/>
              <w:numPr>
                <w:ilvl w:val="0"/>
                <w:numId w:val="5"/>
              </w:numPr>
              <w:spacing w:before="0" w:beforeAutospacing="off" w:after="0" w:afterAutospacing="off"/>
              <w:ind w:left="1080" w:firstLine="0"/>
              <w:jc w:val="both"/>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0919D965" w:rsidR="24DFAA6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Teachers understand the importance of being secure in their subject knowledge. </w:t>
            </w:r>
          </w:p>
          <w:p w:rsidR="24DFAA60" w:rsidP="0919D965" w:rsidRDefault="24DFAA60" w14:paraId="12101910" w14:textId="4D73D08C">
            <w:pPr>
              <w:pStyle w:val="paragraph"/>
              <w:numPr>
                <w:ilvl w:val="0"/>
                <w:numId w:val="5"/>
              </w:numPr>
              <w:spacing w:before="0" w:beforeAutospacing="off" w:after="0" w:afterAutospacing="off"/>
              <w:ind w:left="1080" w:firstLine="0"/>
              <w:jc w:val="both"/>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0919D965" w:rsidR="24DFAA6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Research suggests that the pedagogy of the subject can only be fully understood if the subject knowledge is secure. This combination of subject knowledge and pedagogical knowledge is likely to lead to effective teaching and motivated pupils.</w:t>
            </w:r>
          </w:p>
          <w:p w:rsidRPr="00523D39" w:rsidR="00CB44DE" w:rsidP="00542102" w:rsidRDefault="00CB44DE" w14:paraId="4E488AE5" w14:textId="575DAD9D">
            <w:pPr>
              <w:rPr>
                <w:rFonts w:ascii="Cambria" w:hAnsi="Cambria"/>
                <w:b/>
                <w:bCs/>
                <w:sz w:val="20"/>
                <w:szCs w:val="20"/>
                <w:shd w:val="clear" w:color="auto" w:fill="FFFFFF"/>
              </w:rPr>
            </w:pPr>
          </w:p>
        </w:tc>
        <w:tc>
          <w:tcPr>
            <w:tcW w:w="657" w:type="dxa"/>
            <w:tcBorders>
              <w:top w:val="single" w:color="auto" w:sz="4" w:space="0"/>
              <w:left w:val="single" w:color="auto" w:sz="4" w:space="0"/>
              <w:bottom w:val="single" w:color="auto" w:sz="4" w:space="0"/>
              <w:right w:val="single" w:color="auto" w:sz="4" w:space="0"/>
            </w:tcBorders>
            <w:tcMar/>
          </w:tcPr>
          <w:p w:rsidRPr="00523D39" w:rsidR="00CB44DE" w:rsidP="003324D5" w:rsidRDefault="00CB44DE" w14:paraId="500548AF" w14:textId="77777777">
            <w:pPr>
              <w:jc w:val="center"/>
              <w:rPr>
                <w:rFonts w:ascii="Cambria" w:hAnsi="Cambria"/>
                <w:sz w:val="20"/>
                <w:szCs w:val="20"/>
              </w:rPr>
            </w:pPr>
          </w:p>
        </w:tc>
      </w:tr>
      <w:tr w:rsidRPr="00F07217" w:rsidR="00CB44DE" w:rsidTr="0919D965" w14:paraId="365EFF71" w14:textId="77777777">
        <w:trPr>
          <w:trHeight w:val="152"/>
        </w:trPr>
        <w:tc>
          <w:tcPr>
            <w:tcW w:w="1887" w:type="dxa"/>
            <w:vMerge/>
            <w:tcBorders/>
            <w:tcMar/>
          </w:tcPr>
          <w:p w:rsidRPr="00523D39" w:rsidR="00CB44DE" w:rsidP="00D7386B" w:rsidRDefault="00CB44DE" w14:paraId="39E4C718" w14:textId="77777777">
            <w:pPr>
              <w:spacing w:line="237" w:lineRule="auto"/>
              <w:jc w:val="center"/>
              <w:rPr>
                <w:rFonts w:ascii="Cambria" w:hAnsi="Cambria"/>
                <w:b/>
                <w:bCs/>
                <w:sz w:val="20"/>
                <w:szCs w:val="20"/>
              </w:rPr>
            </w:pPr>
          </w:p>
        </w:tc>
        <w:tc>
          <w:tcPr>
            <w:tcW w:w="8939" w:type="dxa"/>
            <w:gridSpan w:val="8"/>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D7386B" w:rsidRDefault="00CB44DE" w14:paraId="4AA9EA46" w14:textId="06BEEB12">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3324D5" w:rsidRDefault="00CB44DE" w14:paraId="5E1B72E3" w14:textId="77777777">
            <w:pPr>
              <w:jc w:val="center"/>
              <w:rPr>
                <w:rFonts w:ascii="Cambria" w:hAnsi="Cambria"/>
                <w:b/>
                <w:bCs/>
                <w:sz w:val="20"/>
                <w:szCs w:val="20"/>
              </w:rPr>
            </w:pPr>
            <w:r w:rsidRPr="00523D39">
              <w:rPr>
                <w:rFonts w:ascii="Cambria" w:hAnsi="Cambria"/>
                <w:b/>
                <w:bCs/>
                <w:sz w:val="20"/>
                <w:szCs w:val="20"/>
              </w:rPr>
              <w:t>Y/N</w:t>
            </w:r>
          </w:p>
          <w:p w:rsidRPr="00523D39" w:rsidR="00CB44DE" w:rsidP="003324D5" w:rsidRDefault="00CB44DE" w14:paraId="18B6C2E1" w14:textId="115AA463">
            <w:pPr>
              <w:jc w:val="center"/>
              <w:rPr>
                <w:rFonts w:ascii="Cambria" w:hAnsi="Cambria"/>
                <w:b/>
                <w:bCs/>
                <w:sz w:val="20"/>
                <w:szCs w:val="20"/>
              </w:rPr>
            </w:pPr>
          </w:p>
        </w:tc>
      </w:tr>
      <w:tr w:rsidRPr="00F07217" w:rsidR="00CB44DE" w:rsidTr="0919D965" w14:paraId="0B2BB01B" w14:textId="77777777">
        <w:trPr>
          <w:trHeight w:val="152"/>
        </w:trPr>
        <w:tc>
          <w:tcPr>
            <w:tcW w:w="1887" w:type="dxa"/>
            <w:vMerge/>
            <w:tcBorders/>
            <w:tcMar/>
          </w:tcPr>
          <w:p w:rsidRPr="00523D39" w:rsidR="00CB44DE" w:rsidP="00D7386B" w:rsidRDefault="00CB44DE" w14:paraId="6816228A" w14:textId="77777777">
            <w:pPr>
              <w:spacing w:line="237" w:lineRule="auto"/>
              <w:jc w:val="center"/>
              <w:rPr>
                <w:rFonts w:ascii="Cambria" w:hAnsi="Cambria"/>
                <w:b/>
                <w:bCs/>
                <w:sz w:val="20"/>
                <w:szCs w:val="20"/>
              </w:rPr>
            </w:pPr>
          </w:p>
        </w:tc>
        <w:tc>
          <w:tcPr>
            <w:tcW w:w="8939" w:type="dxa"/>
            <w:gridSpan w:val="8"/>
            <w:tcBorders>
              <w:top w:val="single" w:color="auto" w:sz="4" w:space="0"/>
              <w:left w:val="single" w:color="auto" w:sz="4" w:space="0"/>
              <w:bottom w:val="single" w:color="auto" w:sz="4" w:space="0"/>
              <w:right w:val="single" w:color="auto" w:sz="4" w:space="0"/>
            </w:tcBorders>
            <w:tcMar/>
          </w:tcPr>
          <w:p w:rsidR="2BB5096E" w:rsidP="0919D965" w:rsidRDefault="2BB5096E" w14:paraId="31D7AB62" w14:textId="1606A56C">
            <w:pPr>
              <w:pStyle w:val="paragraph"/>
              <w:numPr>
                <w:ilvl w:val="0"/>
                <w:numId w:val="6"/>
              </w:numPr>
              <w:spacing w:before="0" w:beforeAutospacing="off" w:after="0" w:afterAutospacing="off"/>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0919D965" w:rsidR="2BB5096E">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Explain the essential concepts, knowledge, skills and principles of history.  </w:t>
            </w:r>
          </w:p>
          <w:p w:rsidR="2BB5096E" w:rsidP="0919D965" w:rsidRDefault="2BB5096E" w14:paraId="303B95AF" w14:textId="24B242DB">
            <w:pPr>
              <w:pStyle w:val="ListParagraph"/>
              <w:numPr>
                <w:ilvl w:val="0"/>
                <w:numId w:val="6"/>
              </w:numPr>
              <w:spacing w:line="259" w:lineRule="auto"/>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0919D965" w:rsidR="2BB5096E">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Describe and exemplify how expert colleagues ensure pupils’ thinking is focused on key ideas within the subject and deconstructing this approach, for example substantive knowledge. </w:t>
            </w:r>
          </w:p>
          <w:p w:rsidR="2BB5096E" w:rsidP="0919D965" w:rsidRDefault="2BB5096E" w14:paraId="29890BCF" w14:textId="4C0BF508">
            <w:pPr>
              <w:pStyle w:val="ListParagraph"/>
              <w:numPr>
                <w:ilvl w:val="0"/>
                <w:numId w:val="6"/>
              </w:numPr>
              <w:spacing w:line="259" w:lineRule="auto"/>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0919D965" w:rsidR="2BB5096E">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Exemplify how to accumulate and refine a collection of powerful analogies, illustrations, examples, explanations and demonstrations, for example Mark Hill’s World Building (2018) </w:t>
            </w:r>
          </w:p>
          <w:p w:rsidR="2BB5096E" w:rsidP="0919D965" w:rsidRDefault="2BB5096E" w14:paraId="5707DE0D" w14:textId="55F69BF7">
            <w:pPr>
              <w:pStyle w:val="ListParagraph"/>
              <w:numPr>
                <w:ilvl w:val="0"/>
                <w:numId w:val="6"/>
              </w:numPr>
              <w:spacing w:line="259" w:lineRule="auto"/>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0919D965" w:rsidR="2BB5096E">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Demonstrate how to sequence content in the topics they teach ensuring progression of knowledge and planning for residual knowledge (Counsell, 2012)  </w:t>
            </w:r>
          </w:p>
          <w:p w:rsidR="2BB5096E" w:rsidP="0919D965" w:rsidRDefault="2BB5096E" w14:paraId="328BBAFA" w14:textId="0F6A7E64">
            <w:pPr>
              <w:pStyle w:val="ListParagraph"/>
              <w:numPr>
                <w:ilvl w:val="0"/>
                <w:numId w:val="6"/>
              </w:numPr>
              <w:spacing w:line="259" w:lineRule="auto"/>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0919D965" w:rsidR="2BB5096E">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Exemplify how to be aware of common misconceptions and preconceptions and how to help pupils master important concepts building on the work of Ian Dawson (2018)  </w:t>
            </w:r>
          </w:p>
          <w:p w:rsidR="2BB5096E" w:rsidP="0919D965" w:rsidRDefault="2BB5096E" w14:paraId="3F460940" w14:textId="0A096C89">
            <w:pPr>
              <w:pStyle w:val="ListParagraph"/>
              <w:numPr>
                <w:ilvl w:val="0"/>
                <w:numId w:val="6"/>
              </w:numPr>
              <w:spacing w:line="259" w:lineRule="auto"/>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0919D965" w:rsidR="2BB5096E">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Demonstrate how to revisit the big ideas of the subject over time and teach key concepts through a range of examples such as causation.</w:t>
            </w:r>
          </w:p>
          <w:p w:rsidR="0919D965" w:rsidP="0919D965" w:rsidRDefault="0919D965" w14:paraId="5BA1EFF7" w14:textId="1916016E">
            <w:pPr>
              <w:pStyle w:val="paragraph"/>
              <w:spacing w:before="0" w:beforeAutospacing="off" w:after="0" w:afterAutospacing="off"/>
              <w:ind w:left="0"/>
              <w:rPr>
                <w:rFonts w:ascii="Aptos" w:hAnsi="Aptos" w:cs="Calibri"/>
                <w:color w:val="auto"/>
                <w:sz w:val="24"/>
                <w:szCs w:val="24"/>
              </w:rPr>
            </w:pPr>
          </w:p>
          <w:p w:rsidRPr="00E87F2A" w:rsidR="00CB44DE" w:rsidP="00E87F2A" w:rsidRDefault="00CB44DE" w14:paraId="3437E904" w14:textId="1672A09B">
            <w:pPr>
              <w:pStyle w:val="ListParagraph"/>
              <w:rPr>
                <w:rFonts w:ascii="Cambria" w:hAnsi="Cambria"/>
                <w:b/>
                <w:bCs/>
                <w:sz w:val="20"/>
                <w:szCs w:val="20"/>
              </w:rPr>
            </w:pPr>
          </w:p>
        </w:tc>
        <w:tc>
          <w:tcPr>
            <w:tcW w:w="657" w:type="dxa"/>
            <w:tcBorders>
              <w:top w:val="single" w:color="auto" w:sz="4" w:space="0"/>
              <w:left w:val="single" w:color="auto" w:sz="4" w:space="0"/>
              <w:bottom w:val="single" w:color="auto" w:sz="4" w:space="0"/>
              <w:right w:val="single" w:color="auto" w:sz="4" w:space="0"/>
            </w:tcBorders>
            <w:tcMar/>
          </w:tcPr>
          <w:p w:rsidRPr="00523D39" w:rsidR="00CB44DE" w:rsidP="00D7386B" w:rsidRDefault="00CB44DE" w14:paraId="5FF312F8" w14:textId="77777777">
            <w:pPr>
              <w:rPr>
                <w:rFonts w:ascii="Cambria" w:hAnsi="Cambria"/>
                <w:b/>
                <w:bCs/>
                <w:sz w:val="20"/>
                <w:szCs w:val="20"/>
              </w:rPr>
            </w:pPr>
          </w:p>
        </w:tc>
      </w:tr>
      <w:tr w:rsidRPr="00F07217" w:rsidR="00B5000E" w:rsidTr="0919D965" w14:paraId="3CEA7B26" w14:textId="77777777">
        <w:trPr>
          <w:trHeight w:val="2380"/>
        </w:trPr>
        <w:tc>
          <w:tcPr>
            <w:tcW w:w="1887"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2B69B659" w14:textId="42685D1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9"/>
            <w:tcBorders>
              <w:top w:val="single" w:color="auto" w:sz="4" w:space="0"/>
              <w:left w:val="single" w:color="auto" w:sz="4" w:space="0"/>
              <w:bottom w:val="single" w:color="auto" w:sz="4" w:space="0"/>
              <w:right w:val="single" w:color="auto" w:sz="4" w:space="0"/>
            </w:tcBorders>
            <w:tcMar/>
          </w:tcPr>
          <w:p w:rsidRPr="0054092D" w:rsidR="008B1D2B" w:rsidP="0919D965" w:rsidRDefault="00484DB8" w14:paraId="040FC9DB" w14:textId="63DC92A5">
            <w:pPr>
              <w:pStyle w:val="ListParagraph"/>
              <w:numPr>
                <w:ilvl w:val="0"/>
                <w:numId w:val="8"/>
              </w:numPr>
              <w:jc w:val="both"/>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0919D965" w:rsidR="2848C631">
              <w:rPr>
                <w:rFonts w:ascii="Segoe UI Symbol" w:hAnsi="Segoe UI Symbol" w:eastAsia="Segoe UI Symbol" w:cs="Segoe UI Symbol"/>
                <w:b w:val="0"/>
                <w:bCs w:val="0"/>
                <w:i w:val="0"/>
                <w:iCs w:val="0"/>
                <w:caps w:val="0"/>
                <w:smallCaps w:val="0"/>
                <w:noProof w:val="0"/>
                <w:color w:val="000000" w:themeColor="text1" w:themeTint="FF" w:themeShade="FF"/>
                <w:sz w:val="24"/>
                <w:szCs w:val="24"/>
                <w:highlight w:val="yellow"/>
                <w:lang w:val="en-GB"/>
              </w:rPr>
              <w:t xml:space="preserve">Evaluate the logical progression and coherence of your content sequencing, based on the principles outlined by Counsell (2012) </w:t>
            </w:r>
          </w:p>
          <w:p w:rsidRPr="0054092D" w:rsidR="008B1D2B" w:rsidP="0919D965" w:rsidRDefault="00484DB8" w14:paraId="1DE3DF2E" w14:textId="3B518A4F">
            <w:pPr>
              <w:pStyle w:val="Normal"/>
              <w:widowControl w:val="1"/>
              <w:spacing w:before="0" w:line="259" w:lineRule="auto"/>
              <w:ind w:left="0"/>
              <w:contextualSpacing/>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Pr="0054092D" w:rsidR="008B1D2B" w:rsidP="0919D965" w:rsidRDefault="00484DB8" w14:paraId="3FF66014" w14:textId="10377E36">
            <w:pPr>
              <w:pStyle w:val="ListParagraph"/>
              <w:numPr>
                <w:ilvl w:val="0"/>
                <w:numId w:val="8"/>
              </w:numPr>
              <w:spacing w:line="259" w:lineRule="auto"/>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0919D965" w:rsidR="2848C631">
              <w:rPr>
                <w:rFonts w:ascii="Segoe UI Symbol" w:hAnsi="Segoe UI Symbol" w:eastAsia="Segoe UI Symbol" w:cs="Segoe UI Symbol"/>
                <w:b w:val="0"/>
                <w:bCs w:val="0"/>
                <w:i w:val="0"/>
                <w:iCs w:val="0"/>
                <w:caps w:val="0"/>
                <w:smallCaps w:val="0"/>
                <w:noProof w:val="0"/>
                <w:color w:val="000000" w:themeColor="text1" w:themeTint="FF" w:themeShade="FF"/>
                <w:sz w:val="24"/>
                <w:szCs w:val="24"/>
                <w:highlight w:val="yellow"/>
                <w:lang w:val="en-GB"/>
              </w:rPr>
              <w:t>Describe how your expert colleagues ensure that pupils' thinking is focused on key ideas within history.</w:t>
            </w:r>
          </w:p>
          <w:p w:rsidRPr="0054092D" w:rsidR="008B1D2B" w:rsidP="0919D965" w:rsidRDefault="00484DB8" w14:paraId="11852BB5" w14:textId="53F1B536">
            <w:pPr>
              <w:pStyle w:val="Normal"/>
              <w:pBdr>
                <w:top w:val="nil" w:color="000000" w:sz="0" w:space="0"/>
                <w:left w:val="nil" w:color="000000" w:sz="0" w:space="0"/>
                <w:bottom w:val="nil" w:color="000000" w:sz="0" w:space="0"/>
                <w:right w:val="nil" w:color="000000" w:sz="0" w:space="0"/>
                <w:between w:val="nil" w:color="000000" w:sz="0" w:space="0"/>
              </w:pBdr>
              <w:ind w:left="0"/>
              <w:jc w:val="both"/>
              <w:rPr>
                <w:rFonts w:ascii="Cambria" w:hAnsi="Cambria"/>
                <w:color w:val="000000" w:themeColor="text1" w:themeTint="FF" w:themeShade="FF"/>
                <w:sz w:val="20"/>
                <w:szCs w:val="20"/>
              </w:rPr>
            </w:pPr>
          </w:p>
        </w:tc>
      </w:tr>
      <w:tr w:rsidRPr="00F07217" w:rsidR="00B5000E" w:rsidTr="0919D965" w14:paraId="69758A50" w14:textId="77777777">
        <w:trPr>
          <w:trHeight w:val="1620"/>
        </w:trPr>
        <w:tc>
          <w:tcPr>
            <w:tcW w:w="1887"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6D3D2A77" w14:textId="7777777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Additional notes from mentor meeting</w:t>
            </w:r>
          </w:p>
          <w:p w:rsidRPr="00523D39" w:rsidR="00560FE2" w:rsidP="00B5000E" w:rsidRDefault="00A27B4C" w14:paraId="788494D3" w14:textId="658111FE">
            <w:pPr>
              <w:spacing w:line="237" w:lineRule="auto"/>
              <w:jc w:val="center"/>
              <w:rPr>
                <w:rFonts w:ascii="Cambria" w:hAnsi="Cambria" w:eastAsia="Georg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rsidRPr="00523D39" w:rsidR="00560FE2" w:rsidP="00B5000E" w:rsidRDefault="00560FE2" w14:paraId="5B450E15" w14:textId="55099F9D">
            <w:pPr>
              <w:spacing w:line="237" w:lineRule="auto"/>
              <w:jc w:val="center"/>
              <w:rPr>
                <w:rFonts w:ascii="Cambria" w:hAnsi="Cambria" w:eastAsia="Georgia" w:cs="Georgia"/>
                <w:b/>
                <w:sz w:val="20"/>
                <w:szCs w:val="20"/>
              </w:rPr>
            </w:pPr>
          </w:p>
        </w:tc>
        <w:tc>
          <w:tcPr>
            <w:tcW w:w="9596" w:type="dxa"/>
            <w:gridSpan w:val="9"/>
            <w:tcBorders>
              <w:top w:val="single" w:color="auto" w:sz="4" w:space="0"/>
              <w:left w:val="single" w:color="auto" w:sz="4" w:space="0"/>
              <w:bottom w:val="single" w:color="auto" w:sz="4" w:space="0"/>
              <w:right w:val="single" w:color="auto" w:sz="4" w:space="0"/>
            </w:tcBorders>
            <w:tcMar/>
          </w:tcPr>
          <w:p w:rsidRPr="00523D39" w:rsidR="00B5000E" w:rsidP="00B5000E" w:rsidRDefault="00E5003C" w14:paraId="2A346587" w14:textId="44948548">
            <w:pPr>
              <w:pStyle w:val="xmsolistparagraph"/>
              <w:shd w:val="clear" w:color="auto" w:fill="FFFFFF"/>
              <w:spacing w:before="0" w:beforeAutospacing="0" w:after="0" w:afterAutospacing="0"/>
              <w:rPr>
                <w:rFonts w:ascii="Cambria" w:hAnsi="Cambria" w:cs="Calibri"/>
                <w:color w:val="201F1E"/>
                <w:sz w:val="20"/>
                <w:szCs w:val="20"/>
              </w:rPr>
            </w:pPr>
            <w:r w:rsidRPr="0919D965" w:rsidR="00E5003C">
              <w:rPr>
                <w:rFonts w:ascii="Cambria" w:hAnsi="Cambria" w:cs="Calibri"/>
                <w:color w:val="201F1E"/>
                <w:sz w:val="20"/>
                <w:szCs w:val="20"/>
              </w:rPr>
              <w:t>For example,</w:t>
            </w:r>
            <w:r w:rsidRPr="0919D965" w:rsidR="00AB1862">
              <w:rPr>
                <w:rFonts w:ascii="Cambria" w:hAnsi="Cambria" w:cs="Calibri"/>
                <w:color w:val="201F1E"/>
                <w:sz w:val="20"/>
                <w:szCs w:val="20"/>
              </w:rPr>
              <w:t xml:space="preserve"> review of</w:t>
            </w:r>
            <w:r w:rsidRPr="0919D965" w:rsidR="00E5003C">
              <w:rPr>
                <w:rFonts w:ascii="Cambria" w:hAnsi="Cambria" w:cs="Calibri"/>
                <w:color w:val="201F1E"/>
                <w:sz w:val="20"/>
                <w:szCs w:val="20"/>
              </w:rPr>
              <w:t xml:space="preserve"> subject knowledge</w:t>
            </w:r>
            <w:r w:rsidRPr="0919D965" w:rsidR="00AB1862">
              <w:rPr>
                <w:rFonts w:ascii="Cambria" w:hAnsi="Cambria" w:cs="Calibri"/>
                <w:color w:val="201F1E"/>
                <w:sz w:val="20"/>
                <w:szCs w:val="20"/>
              </w:rPr>
              <w:t xml:space="preserve">, </w:t>
            </w:r>
            <w:r w:rsidRPr="0919D965" w:rsidR="00E5003C">
              <w:rPr>
                <w:rFonts w:ascii="Cambria" w:hAnsi="Cambria" w:cs="Calibri"/>
                <w:color w:val="201F1E"/>
                <w:sz w:val="20"/>
                <w:szCs w:val="20"/>
              </w:rPr>
              <w:t>relevant CPD</w:t>
            </w:r>
            <w:r w:rsidRPr="0919D965" w:rsidR="00AB1862">
              <w:rPr>
                <w:rFonts w:ascii="Cambria" w:hAnsi="Cambria" w:cs="Calibri"/>
                <w:color w:val="201F1E"/>
                <w:sz w:val="20"/>
                <w:szCs w:val="20"/>
              </w:rPr>
              <w:t>, arrangements for upcoming lesson observation, school/department events etc</w:t>
            </w:r>
            <w:r w:rsidRPr="0919D965" w:rsidR="00F83B94">
              <w:rPr>
                <w:rFonts w:ascii="Cambria" w:hAnsi="Cambria" w:cs="Calibri"/>
                <w:color w:val="201F1E"/>
                <w:sz w:val="20"/>
                <w:szCs w:val="20"/>
              </w:rPr>
              <w:t>.</w:t>
            </w:r>
          </w:p>
          <w:p w:rsidRPr="00523D39" w:rsidR="00B5000E" w:rsidP="00B5000E" w:rsidRDefault="00B5000E" w14:paraId="7417A361" w14:textId="49E3B7D3">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ED7F194" w14:textId="45A6050C">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33A2A4D" w14:textId="1C9AE883">
            <w:pPr>
              <w:pStyle w:val="xmsolistparagraph"/>
              <w:shd w:val="clear" w:color="auto" w:fill="FFFFFF"/>
              <w:spacing w:before="0" w:beforeAutospacing="0" w:after="0" w:afterAutospacing="0"/>
              <w:ind w:left="720"/>
              <w:rPr>
                <w:rFonts w:ascii="Cambria" w:hAnsi="Cambria" w:cs="Calibri"/>
                <w:color w:val="201F1E"/>
                <w:sz w:val="20"/>
                <w:szCs w:val="20"/>
              </w:rPr>
            </w:pPr>
          </w:p>
        </w:tc>
      </w:tr>
      <w:tr w:rsidRPr="00F07217" w:rsidR="00C663BC" w:rsidTr="0919D965" w14:paraId="4D4EF814" w14:textId="77777777">
        <w:trPr>
          <w:trHeight w:val="602"/>
        </w:trPr>
        <w:tc>
          <w:tcPr>
            <w:tcW w:w="1887" w:type="dxa"/>
            <w:tcBorders>
              <w:top w:val="single" w:color="auto" w:sz="4" w:space="0"/>
              <w:left w:val="single" w:color="auto" w:sz="4" w:space="0"/>
              <w:right w:val="single" w:color="auto" w:sz="4" w:space="0"/>
            </w:tcBorders>
            <w:tcMar/>
          </w:tcPr>
          <w:p w:rsidRPr="00523D39" w:rsidR="00C663BC" w:rsidP="00B5000E" w:rsidRDefault="003C0614" w14:paraId="1E3F347B" w14:textId="633E03BE">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Trainee</w:t>
            </w:r>
            <w:r w:rsidRPr="00523D39" w:rsidR="00523D39">
              <w:rPr>
                <w:rFonts w:ascii="Cambria" w:hAnsi="Cambria" w:eastAsia="Georgia" w:cs="Georgia"/>
                <w:b/>
                <w:sz w:val="20"/>
                <w:szCs w:val="20"/>
              </w:rPr>
              <w:t xml:space="preserv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9596" w:type="dxa"/>
            <w:gridSpan w:val="9"/>
            <w:tcBorders>
              <w:top w:val="single" w:color="auto" w:sz="4" w:space="0"/>
              <w:left w:val="single" w:color="auto" w:sz="4" w:space="0"/>
              <w:bottom w:val="single" w:color="auto" w:sz="4" w:space="0"/>
              <w:right w:val="single" w:color="auto" w:sz="4" w:space="0"/>
            </w:tcBorders>
            <w:tcMar/>
          </w:tcPr>
          <w:p w:rsidRPr="00523D39" w:rsidR="00C663BC" w:rsidP="00B5000E" w:rsidRDefault="00C663BC" w14:paraId="79CD1FEE" w14:textId="1877BCD9">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Has trainee workload and well-being been discussed? Please update any risk assessments (if applicable)</w:t>
            </w:r>
            <w:r w:rsidR="00F83B94">
              <w:rPr>
                <w:rFonts w:ascii="Cambria" w:hAnsi="Cambria" w:cs="Calibri"/>
                <w:color w:val="201F1E"/>
                <w:sz w:val="20"/>
                <w:szCs w:val="20"/>
              </w:rPr>
              <w:t>.</w:t>
            </w:r>
          </w:p>
        </w:tc>
      </w:tr>
      <w:tr w:rsidRPr="00F07217" w:rsidR="00206943" w:rsidTr="0919D965" w14:paraId="1EFF03BD" w14:textId="77777777">
        <w:trPr>
          <w:trHeight w:val="301"/>
        </w:trPr>
        <w:tc>
          <w:tcPr>
            <w:tcW w:w="1887" w:type="dxa"/>
            <w:vMerge w:val="restart"/>
            <w:tcBorders>
              <w:top w:val="single" w:color="auto" w:sz="4" w:space="0"/>
              <w:left w:val="single" w:color="auto" w:sz="4" w:space="0"/>
              <w:right w:val="single" w:color="auto" w:sz="4" w:space="0"/>
            </w:tcBorders>
            <w:tcMar/>
          </w:tcPr>
          <w:p w:rsidR="00206943" w:rsidP="00B5000E" w:rsidRDefault="00F51F32" w14:paraId="495066E1" w14:textId="68765A02">
            <w:pPr>
              <w:spacing w:line="237" w:lineRule="auto"/>
              <w:jc w:val="center"/>
              <w:rPr>
                <w:rFonts w:ascii="Cambria" w:hAnsi="Cambria"/>
                <w:noProof/>
                <w:sz w:val="20"/>
                <w:szCs w:val="20"/>
              </w:rPr>
            </w:pPr>
            <w:r>
              <w:rPr>
                <w:rFonts w:ascii="Cambria" w:hAnsi="Cambria" w:eastAsia="Georgia" w:cs="Georgia"/>
                <w:b/>
                <w:sz w:val="20"/>
                <w:szCs w:val="20"/>
              </w:rPr>
              <w:t>Future practice development targets</w:t>
            </w:r>
            <w:r w:rsidR="00206943">
              <w:rPr>
                <w:rFonts w:ascii="Cambria" w:hAnsi="Cambria" w:eastAsia="Georgia" w:cs="Georgia"/>
                <w:b/>
                <w:sz w:val="20"/>
                <w:szCs w:val="20"/>
              </w:rPr>
              <w:t xml:space="preserve"> </w:t>
            </w:r>
            <w:r w:rsidRPr="00B752B5" w:rsidR="00206943">
              <w:rPr>
                <w:rFonts w:ascii="Cambria" w:hAnsi="Cambria" w:eastAsia="Georgia" w:cs="Georgia"/>
                <w:b/>
                <w:sz w:val="20"/>
                <w:szCs w:val="20"/>
                <w:u w:val="single"/>
              </w:rPr>
              <w:t>for progress on next phase of ITE</w:t>
            </w:r>
          </w:p>
          <w:p w:rsidRPr="00523D39" w:rsidR="00206943" w:rsidP="00B5000E" w:rsidRDefault="00206943" w14:paraId="78D25B1F" w14:textId="3B330BCC">
            <w:pPr>
              <w:spacing w:line="237" w:lineRule="auto"/>
              <w:jc w:val="center"/>
              <w:rPr>
                <w:rFonts w:ascii="Cambria" w:hAnsi="Cambria" w:eastAsia="Georgia" w:cs="Georgia"/>
                <w:b/>
                <w:sz w:val="20"/>
                <w:szCs w:val="20"/>
              </w:rPr>
            </w:pPr>
            <w:r w:rsidRPr="00523D39">
              <w:rPr>
                <w:rFonts w:ascii="Cambria" w:hAnsi="Cambria"/>
                <w:noProof/>
                <w:sz w:val="20"/>
                <w:szCs w:val="20"/>
              </w:rPr>
              <w:drawing>
                <wp:inline distT="0" distB="0" distL="0" distR="0" wp14:anchorId="30585299" wp14:editId="476587FB">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9596" w:type="dxa"/>
            <w:gridSpan w:val="9"/>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206943" w:rsidP="00387F4F" w:rsidRDefault="00206943" w14:paraId="38FEB8A9" w14:textId="0B32242E">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 xml:space="preserve">To develop their practice </w:t>
            </w:r>
            <w:r w:rsidRPr="00B752B5">
              <w:rPr>
                <w:rFonts w:ascii="Cambria" w:hAnsi="Cambria" w:cs="Calibri"/>
                <w:b/>
                <w:bCs/>
                <w:color w:val="201F1E"/>
                <w:sz w:val="20"/>
                <w:szCs w:val="20"/>
                <w:u w:val="single"/>
              </w:rPr>
              <w:t>on the next phase of their ITE</w:t>
            </w:r>
            <w:r>
              <w:rPr>
                <w:rFonts w:ascii="Cambria" w:hAnsi="Cambria" w:cs="Calibri"/>
                <w:b/>
                <w:bCs/>
                <w:color w:val="201F1E"/>
                <w:sz w:val="20"/>
                <w:szCs w:val="20"/>
              </w:rPr>
              <w:t>, the trainee will need opportunities to:</w:t>
            </w:r>
          </w:p>
        </w:tc>
      </w:tr>
      <w:tr w:rsidRPr="00F07217" w:rsidR="00206943" w:rsidTr="0919D965" w14:paraId="19ADFC6E" w14:textId="77777777">
        <w:trPr>
          <w:trHeight w:val="301"/>
        </w:trPr>
        <w:tc>
          <w:tcPr>
            <w:tcW w:w="1887" w:type="dxa"/>
            <w:vMerge/>
            <w:tcBorders/>
            <w:tcMar/>
          </w:tcPr>
          <w:p w:rsidRPr="00523D39" w:rsidR="00206943" w:rsidP="00B5000E" w:rsidRDefault="00206943" w14:paraId="317BB4BF" w14:textId="77777777">
            <w:pPr>
              <w:spacing w:line="237" w:lineRule="auto"/>
              <w:jc w:val="center"/>
              <w:rPr>
                <w:rFonts w:ascii="Cambria" w:hAnsi="Cambria"/>
                <w:noProof/>
                <w:sz w:val="20"/>
                <w:szCs w:val="20"/>
              </w:rPr>
            </w:pPr>
          </w:p>
        </w:tc>
        <w:tc>
          <w:tcPr>
            <w:tcW w:w="9596" w:type="dxa"/>
            <w:gridSpan w:val="9"/>
            <w:tcBorders>
              <w:top w:val="single" w:color="auto" w:sz="4" w:space="0"/>
              <w:left w:val="single" w:color="auto" w:sz="4" w:space="0"/>
              <w:bottom w:val="single" w:color="auto" w:sz="4" w:space="0"/>
              <w:right w:val="single" w:color="auto" w:sz="4" w:space="0"/>
            </w:tcBorders>
            <w:tcMar/>
          </w:tcPr>
          <w:p w:rsidRPr="00523D39" w:rsidR="00206943" w:rsidP="00387F4F" w:rsidRDefault="00206943" w14:paraId="71D1D38F" w14:textId="1981F8FE">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r>
      <w:tr w:rsidRPr="00F07217" w:rsidR="00206943" w:rsidTr="0919D965" w14:paraId="48262457" w14:textId="77777777">
        <w:trPr>
          <w:trHeight w:val="301"/>
        </w:trPr>
        <w:tc>
          <w:tcPr>
            <w:tcW w:w="1887" w:type="dxa"/>
            <w:vMerge/>
            <w:tcBorders/>
            <w:tcMar/>
          </w:tcPr>
          <w:p w:rsidRPr="00523D39" w:rsidR="00206943" w:rsidP="00B5000E" w:rsidRDefault="00206943" w14:paraId="42B9B598" w14:textId="77777777">
            <w:pPr>
              <w:spacing w:line="237" w:lineRule="auto"/>
              <w:jc w:val="center"/>
              <w:rPr>
                <w:rFonts w:ascii="Cambria" w:hAnsi="Cambria"/>
                <w:noProof/>
                <w:sz w:val="20"/>
                <w:szCs w:val="20"/>
              </w:rPr>
            </w:pPr>
          </w:p>
        </w:tc>
        <w:tc>
          <w:tcPr>
            <w:tcW w:w="9596" w:type="dxa"/>
            <w:gridSpan w:val="9"/>
            <w:tcBorders>
              <w:top w:val="single" w:color="auto" w:sz="4" w:space="0"/>
              <w:left w:val="single" w:color="auto" w:sz="4" w:space="0"/>
              <w:bottom w:val="single" w:color="auto" w:sz="4" w:space="0"/>
              <w:right w:val="single" w:color="auto" w:sz="4" w:space="0"/>
            </w:tcBorders>
            <w:tcMar/>
          </w:tcPr>
          <w:p w:rsidRPr="00523D39" w:rsidR="00206943" w:rsidP="00387F4F" w:rsidRDefault="00206943" w14:paraId="69785372" w14:textId="2304C2D1">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r>
      <w:tr w:rsidRPr="00F07217" w:rsidR="00206943" w:rsidTr="0919D965" w14:paraId="4FEC5910" w14:textId="77777777">
        <w:trPr>
          <w:trHeight w:val="301"/>
        </w:trPr>
        <w:tc>
          <w:tcPr>
            <w:tcW w:w="1887" w:type="dxa"/>
            <w:vMerge/>
            <w:tcBorders/>
            <w:tcMar/>
          </w:tcPr>
          <w:p w:rsidRPr="00523D39" w:rsidR="00206943" w:rsidP="00B5000E" w:rsidRDefault="00206943" w14:paraId="7A4CF4F8" w14:textId="77777777">
            <w:pPr>
              <w:spacing w:line="237" w:lineRule="auto"/>
              <w:jc w:val="center"/>
              <w:rPr>
                <w:rFonts w:ascii="Cambria" w:hAnsi="Cambria"/>
                <w:noProof/>
                <w:sz w:val="20"/>
                <w:szCs w:val="20"/>
              </w:rPr>
            </w:pPr>
          </w:p>
        </w:tc>
        <w:tc>
          <w:tcPr>
            <w:tcW w:w="9596" w:type="dxa"/>
            <w:gridSpan w:val="9"/>
            <w:tcBorders>
              <w:top w:val="single" w:color="auto" w:sz="4" w:space="0"/>
              <w:left w:val="single" w:color="auto" w:sz="4" w:space="0"/>
              <w:bottom w:val="single" w:color="auto" w:sz="4" w:space="0"/>
              <w:right w:val="single" w:color="auto" w:sz="4" w:space="0"/>
            </w:tcBorders>
            <w:tcMar/>
          </w:tcPr>
          <w:p w:rsidRPr="00523D39" w:rsidR="00206943" w:rsidP="00387F4F" w:rsidRDefault="00206943" w14:paraId="755EC65A" w14:textId="20DEE062">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r>
      <w:tr w:rsidRPr="00F07217" w:rsidR="00402356" w:rsidTr="0919D965" w14:paraId="3CBB1465" w14:textId="77777777">
        <w:trPr>
          <w:trHeight w:val="413"/>
        </w:trPr>
        <w:tc>
          <w:tcPr>
            <w:tcW w:w="11483" w:type="dxa"/>
            <w:gridSpan w:val="10"/>
            <w:tcBorders>
              <w:top w:val="single" w:color="auto" w:sz="4" w:space="0"/>
              <w:left w:val="single" w:color="auto" w:sz="4" w:space="0"/>
              <w:bottom w:val="single" w:color="auto" w:sz="4" w:space="0"/>
              <w:right w:val="single" w:color="auto" w:sz="4" w:space="0"/>
            </w:tcBorders>
            <w:shd w:val="clear" w:color="auto" w:fill="FFFF00"/>
            <w:tcMar/>
          </w:tcPr>
          <w:p w:rsidRPr="00F83C7A" w:rsidR="00C95C29" w:rsidP="00C95C29" w:rsidRDefault="00402356" w14:paraId="5934773A" w14:textId="408940E3">
            <w:pPr>
              <w:rPr>
                <w:rFonts w:ascii="Cambria" w:hAnsi="Cambria" w:cs="Arial"/>
                <w:b/>
                <w:bCs/>
                <w:sz w:val="20"/>
                <w:szCs w:val="20"/>
              </w:rPr>
            </w:pPr>
            <w:r w:rsidRPr="00F83C7A">
              <w:rPr>
                <w:rFonts w:ascii="Cambria" w:hAnsi="Cambria" w:cs="Arial"/>
                <w:b/>
                <w:sz w:val="20"/>
                <w:szCs w:val="20"/>
              </w:rPr>
              <w:lastRenderedPageBreak/>
              <w:t>Current progress would suggest that</w:t>
            </w:r>
            <w:r w:rsidRPr="00F83C7A" w:rsidR="005511A4">
              <w:rPr>
                <w:rFonts w:ascii="Cambria" w:hAnsi="Cambria" w:cs="Arial"/>
                <w:b/>
                <w:sz w:val="20"/>
                <w:szCs w:val="20"/>
              </w:rPr>
              <w:t xml:space="preserve"> </w:t>
            </w:r>
            <w:r w:rsidRPr="00F83C7A" w:rsidR="00C95C29">
              <w:rPr>
                <w:rFonts w:ascii="Cambria" w:hAnsi="Cambria" w:cs="Arial"/>
                <w:b/>
                <w:sz w:val="20"/>
                <w:szCs w:val="20"/>
              </w:rPr>
              <w:t>t</w:t>
            </w:r>
            <w:r w:rsidRPr="00F83C7A" w:rsidR="00C95C29">
              <w:rPr>
                <w:rFonts w:ascii="Cambria" w:hAnsi="Cambria" w:cs="Arial"/>
                <w:b/>
                <w:bCs/>
                <w:sz w:val="20"/>
                <w:szCs w:val="20"/>
              </w:rPr>
              <w:t>he trainee is making sufficient progress through the curriculum to proceed</w:t>
            </w:r>
            <w:r w:rsidR="00C17386">
              <w:rPr>
                <w:rFonts w:ascii="Cambria" w:hAnsi="Cambria" w:cs="Arial"/>
                <w:b/>
                <w:bCs/>
                <w:sz w:val="20"/>
                <w:szCs w:val="20"/>
              </w:rPr>
              <w:t xml:space="preserve"> to the next phase of their ITE</w:t>
            </w:r>
            <w:r w:rsidRPr="00F83C7A" w:rsidR="00470596">
              <w:rPr>
                <w:rFonts w:ascii="Cambria" w:hAnsi="Cambria" w:cs="Arial"/>
                <w:b/>
                <w:bCs/>
                <w:sz w:val="20"/>
                <w:szCs w:val="20"/>
              </w:rPr>
              <w:t>:</w:t>
            </w:r>
          </w:p>
          <w:p w:rsidRPr="00F83C7A" w:rsidR="00C95C29" w:rsidP="00C95C29" w:rsidRDefault="006207CE" w14:paraId="4CCEE12F" w14:textId="171806A8">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Pr="00F83C7A" w:rsidR="00C95C29">
                  <w:rPr>
                    <w:rFonts w:ascii="Segoe UI Symbol" w:hAnsi="Segoe UI Symbol" w:eastAsia="MS Gothic" w:cs="Segoe UI Symbol"/>
                    <w:b/>
                    <w:bCs/>
                    <w:sz w:val="20"/>
                    <w:szCs w:val="20"/>
                  </w:rPr>
                  <w:t>☐</w:t>
                </w:r>
              </w:sdtContent>
            </w:sdt>
            <w:r w:rsidRPr="00F83C7A" w:rsidR="00C95C29">
              <w:rPr>
                <w:rFonts w:ascii="Cambria" w:hAnsi="Cambria" w:cs="Arial"/>
                <w:b/>
                <w:bCs/>
                <w:sz w:val="20"/>
                <w:szCs w:val="20"/>
              </w:rPr>
              <w:t xml:space="preserve">  Yes</w:t>
            </w:r>
            <w:r w:rsidRPr="00F83C7A" w:rsidR="00132F3C">
              <w:rPr>
                <w:rFonts w:ascii="Cambria" w:hAnsi="Cambria" w:cs="Arial"/>
                <w:b/>
                <w:bCs/>
                <w:sz w:val="20"/>
                <w:szCs w:val="20"/>
              </w:rPr>
              <w:t>, trainee is making sufficient progress through the curriculum.</w:t>
            </w:r>
          </w:p>
          <w:p w:rsidRPr="00F83C7A" w:rsidR="005113AE" w:rsidP="0036642F" w:rsidRDefault="005113AE" w14:paraId="33ECB3E4" w14:textId="23A42674">
            <w:pPr>
              <w:rPr>
                <w:rFonts w:ascii="Cambria" w:hAnsi="Cambria" w:cs="Arial"/>
                <w:b w:val="1"/>
                <w:bCs w:val="1"/>
                <w:sz w:val="20"/>
                <w:szCs w:val="20"/>
              </w:rPr>
            </w:pPr>
            <w:sdt>
              <w:sdtPr>
                <w:id w:val="-1849011733"/>
                <w14:checkbox>
                  <w14:checked w14:val="0"/>
                  <w14:checkedState w14:val="2612" w14:font="MS Gothic"/>
                  <w14:uncheckedState w14:val="2610" w14:font="MS Gothic"/>
                </w14:checkbox>
                <w:rPr>
                  <w:rFonts w:ascii="Cambria" w:hAnsi="Cambria" w:cs="Arial"/>
                  <w:b w:val="1"/>
                  <w:bCs w:val="1"/>
                  <w:sz w:val="20"/>
                  <w:szCs w:val="20"/>
                </w:rPr>
              </w:sdtPr>
              <w:sdtContent>
                <w:r w:rsidRPr="0919D965" w:rsidR="0036642F">
                  <w:rPr>
                    <w:rFonts w:ascii="Segoe UI Symbol" w:hAnsi="Segoe UI Symbol" w:eastAsia="MS Gothic" w:cs="Segoe UI Symbol"/>
                    <w:b w:val="1"/>
                    <w:bCs w:val="1"/>
                    <w:sz w:val="20"/>
                    <w:szCs w:val="20"/>
                  </w:rPr>
                  <w:t>☐</w:t>
                </w:r>
              </w:sdtContent>
              <w:sdtEndPr>
                <w:rPr>
                  <w:rFonts w:ascii="Cambria" w:hAnsi="Cambria" w:cs="Arial"/>
                  <w:b w:val="1"/>
                  <w:bCs w:val="1"/>
                  <w:sz w:val="20"/>
                  <w:szCs w:val="20"/>
                </w:rPr>
              </w:sdtEndPr>
            </w:sdt>
            <w:r w:rsidRPr="0919D965" w:rsidR="0036642F">
              <w:rPr>
                <w:rFonts w:ascii="Cambria" w:hAnsi="Cambria" w:cs="Arial"/>
                <w:b w:val="1"/>
                <w:bCs w:val="1"/>
                <w:sz w:val="20"/>
                <w:szCs w:val="20"/>
              </w:rPr>
              <w:t xml:space="preserve">  Yes</w:t>
            </w:r>
            <w:r w:rsidRPr="0919D965" w:rsidR="0036642F">
              <w:rPr>
                <w:rFonts w:ascii="Cambria" w:hAnsi="Cambria" w:cs="Arial"/>
                <w:b w:val="1"/>
                <w:bCs w:val="1"/>
                <w:sz w:val="20"/>
                <w:szCs w:val="20"/>
              </w:rPr>
              <w:t xml:space="preserve">, </w:t>
            </w:r>
            <w:r w:rsidRPr="0919D965" w:rsidR="00132F3C">
              <w:rPr>
                <w:rFonts w:ascii="Cambria" w:hAnsi="Cambria" w:cs="Arial"/>
                <w:b w:val="1"/>
                <w:bCs w:val="1"/>
                <w:sz w:val="20"/>
                <w:szCs w:val="20"/>
              </w:rPr>
              <w:t xml:space="preserve">trainee is making sufficient progress through the curriculum, </w:t>
            </w:r>
            <w:r w:rsidRPr="0919D965" w:rsidR="0036642F">
              <w:rPr>
                <w:rFonts w:ascii="Cambria" w:hAnsi="Cambria" w:cs="Arial"/>
                <w:b w:val="1"/>
                <w:bCs w:val="1"/>
                <w:sz w:val="20"/>
                <w:szCs w:val="20"/>
              </w:rPr>
              <w:t xml:space="preserve">but this </w:t>
            </w:r>
            <w:r w:rsidRPr="0919D965" w:rsidR="004933A3">
              <w:rPr>
                <w:rFonts w:ascii="Cambria" w:hAnsi="Cambria" w:cs="Arial"/>
                <w:b w:val="1"/>
                <w:bCs w:val="1"/>
                <w:sz w:val="20"/>
                <w:szCs w:val="20"/>
              </w:rPr>
              <w:t xml:space="preserve">has </w:t>
            </w:r>
            <w:r w:rsidRPr="0919D965" w:rsidR="0036642F">
              <w:rPr>
                <w:rFonts w:ascii="Cambria" w:hAnsi="Cambria" w:cs="Arial"/>
                <w:b w:val="1"/>
                <w:bCs w:val="1"/>
                <w:sz w:val="20"/>
                <w:szCs w:val="20"/>
              </w:rPr>
              <w:t>required</w:t>
            </w:r>
            <w:r w:rsidRPr="0919D965" w:rsidR="0036642F">
              <w:rPr>
                <w:rFonts w:ascii="Cambria" w:hAnsi="Cambria" w:cs="Arial"/>
                <w:b w:val="1"/>
                <w:bCs w:val="1"/>
                <w:sz w:val="20"/>
                <w:szCs w:val="20"/>
              </w:rPr>
              <w:t xml:space="preserve"> </w:t>
            </w:r>
            <w:r w:rsidRPr="0919D965" w:rsidR="0036642F">
              <w:rPr>
                <w:rFonts w:ascii="Cambria" w:hAnsi="Cambria" w:cs="Arial"/>
                <w:b w:val="1"/>
                <w:bCs w:val="1"/>
                <w:sz w:val="20"/>
                <w:szCs w:val="20"/>
              </w:rPr>
              <w:t>additional</w:t>
            </w:r>
            <w:r w:rsidRPr="0919D965" w:rsidR="0036642F">
              <w:rPr>
                <w:rFonts w:ascii="Cambria" w:hAnsi="Cambria" w:cs="Arial"/>
                <w:b w:val="1"/>
                <w:bCs w:val="1"/>
                <w:sz w:val="20"/>
                <w:szCs w:val="20"/>
              </w:rPr>
              <w:t xml:space="preserve"> support </w:t>
            </w:r>
            <w:r w:rsidRPr="0919D965" w:rsidR="0036642F">
              <w:rPr>
                <w:rFonts w:ascii="Cambria" w:hAnsi="Cambria" w:cs="Arial"/>
                <w:b w:val="1"/>
                <w:bCs w:val="1"/>
                <w:sz w:val="14"/>
                <w:szCs w:val="14"/>
              </w:rPr>
              <w:t>(pleas</w:t>
            </w:r>
            <w:r w:rsidRPr="0919D965" w:rsidR="004009A7">
              <w:rPr>
                <w:rFonts w:ascii="Cambria" w:hAnsi="Cambria" w:cs="Arial"/>
                <w:b w:val="1"/>
                <w:bCs w:val="1"/>
                <w:sz w:val="14"/>
                <w:szCs w:val="14"/>
              </w:rPr>
              <w:t xml:space="preserve">e list the </w:t>
            </w:r>
            <w:r w:rsidRPr="0919D965" w:rsidR="004009A7">
              <w:rPr>
                <w:rFonts w:ascii="Cambria" w:hAnsi="Cambria" w:cs="Arial"/>
                <w:b w:val="1"/>
                <w:bCs w:val="1"/>
                <w:sz w:val="14"/>
                <w:szCs w:val="14"/>
              </w:rPr>
              <w:t>additional</w:t>
            </w:r>
            <w:r w:rsidRPr="0919D965" w:rsidR="004009A7">
              <w:rPr>
                <w:rFonts w:ascii="Cambria" w:hAnsi="Cambria" w:cs="Arial"/>
                <w:b w:val="1"/>
                <w:bCs w:val="1"/>
                <w:sz w:val="14"/>
                <w:szCs w:val="14"/>
              </w:rPr>
              <w:t xml:space="preserve"> support provided below</w:t>
            </w:r>
            <w:r w:rsidRPr="0919D965" w:rsidR="004933A3">
              <w:rPr>
                <w:rFonts w:ascii="Cambria" w:hAnsi="Cambria" w:cs="Arial"/>
                <w:b w:val="1"/>
                <w:bCs w:val="1"/>
                <w:sz w:val="14"/>
                <w:szCs w:val="14"/>
              </w:rPr>
              <w:t xml:space="preserve">. For example, a reduction in teaching load, </w:t>
            </w:r>
            <w:r w:rsidRPr="0919D965" w:rsidR="004933A3">
              <w:rPr>
                <w:rFonts w:ascii="Cambria" w:hAnsi="Cambria" w:cs="Arial"/>
                <w:b w:val="1"/>
                <w:bCs w:val="1"/>
                <w:sz w:val="14"/>
                <w:szCs w:val="14"/>
              </w:rPr>
              <w:t>additional</w:t>
            </w:r>
            <w:r w:rsidRPr="0919D965" w:rsidR="004933A3">
              <w:rPr>
                <w:rFonts w:ascii="Cambria" w:hAnsi="Cambria" w:cs="Arial"/>
                <w:b w:val="1"/>
                <w:bCs w:val="1"/>
                <w:sz w:val="14"/>
                <w:szCs w:val="14"/>
              </w:rPr>
              <w:t xml:space="preserve"> meetings, </w:t>
            </w:r>
            <w:r w:rsidRPr="0919D965" w:rsidR="009606AB">
              <w:rPr>
                <w:rFonts w:ascii="Cambria" w:hAnsi="Cambria" w:cs="Arial"/>
                <w:b w:val="1"/>
                <w:bCs w:val="1"/>
                <w:sz w:val="14"/>
                <w:szCs w:val="14"/>
              </w:rPr>
              <w:t>use of team-teaching etc</w:t>
            </w:r>
            <w:r w:rsidRPr="0919D965" w:rsidR="004009A7">
              <w:rPr>
                <w:rFonts w:ascii="Cambria" w:hAnsi="Cambria" w:cs="Arial"/>
                <w:b w:val="1"/>
                <w:bCs w:val="1"/>
                <w:sz w:val="20"/>
                <w:szCs w:val="20"/>
              </w:rPr>
              <w:t>)</w:t>
            </w:r>
            <w:r w:rsidRPr="0919D965" w:rsidR="00F83C7A">
              <w:rPr>
                <w:rFonts w:ascii="Cambria" w:hAnsi="Cambria" w:cs="Arial"/>
                <w:b w:val="1"/>
                <w:bCs w:val="1"/>
                <w:sz w:val="20"/>
                <w:szCs w:val="20"/>
              </w:rPr>
              <w:t>.</w:t>
            </w:r>
          </w:p>
          <w:p w:rsidRPr="00F83C7A" w:rsidR="0036642F" w:rsidP="00C95C29" w:rsidRDefault="0036642F" w14:paraId="2DBD45D4" w14:textId="77777777">
            <w:pPr>
              <w:rPr>
                <w:rFonts w:ascii="Cambria" w:hAnsi="Cambria" w:cs="Arial"/>
                <w:b/>
                <w:bCs/>
                <w:sz w:val="20"/>
                <w:szCs w:val="20"/>
              </w:rPr>
            </w:pPr>
          </w:p>
          <w:p w:rsidRPr="00F07217" w:rsidR="00402356" w:rsidP="00C95C29" w:rsidRDefault="006207CE" w14:paraId="24E9E9CD" w14:textId="1E065DF5">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Pr="00F83C7A" w:rsidR="00C95C29">
                  <w:rPr>
                    <w:rFonts w:ascii="Segoe UI Symbol" w:hAnsi="Segoe UI Symbol" w:eastAsia="MS Gothic" w:cs="Segoe UI Symbol"/>
                    <w:b/>
                    <w:bCs/>
                    <w:sz w:val="20"/>
                    <w:szCs w:val="20"/>
                  </w:rPr>
                  <w:t>☐</w:t>
                </w:r>
              </w:sdtContent>
            </w:sdt>
            <w:r w:rsidRPr="00F83C7A" w:rsidR="00C95C29">
              <w:rPr>
                <w:rFonts w:ascii="Cambria" w:hAnsi="Cambria" w:cs="Arial"/>
                <w:b/>
                <w:bCs/>
                <w:sz w:val="20"/>
                <w:szCs w:val="20"/>
              </w:rPr>
              <w:t xml:space="preserve">  No, </w:t>
            </w:r>
            <w:r w:rsidRPr="00F83C7A" w:rsidR="005113AE">
              <w:rPr>
                <w:rFonts w:ascii="Cambria" w:hAnsi="Cambria" w:cs="Arial"/>
                <w:b/>
                <w:bCs/>
                <w:sz w:val="20"/>
                <w:szCs w:val="20"/>
              </w:rPr>
              <w:t xml:space="preserve">despite additional support </w:t>
            </w:r>
            <w:r w:rsidRPr="00F83C7A" w:rsidR="00D9612E">
              <w:rPr>
                <w:rFonts w:ascii="Cambria" w:hAnsi="Cambria" w:cs="Arial"/>
                <w:b/>
                <w:bCs/>
                <w:sz w:val="20"/>
                <w:szCs w:val="20"/>
              </w:rPr>
              <w:t xml:space="preserve">the </w:t>
            </w:r>
            <w:r w:rsidRPr="00F83C7A" w:rsidR="00DB4B64">
              <w:rPr>
                <w:rFonts w:ascii="Cambria" w:hAnsi="Cambria" w:cs="Arial"/>
                <w:b/>
                <w:bCs/>
                <w:sz w:val="20"/>
                <w:szCs w:val="20"/>
              </w:rPr>
              <w:t xml:space="preserve">trainee </w:t>
            </w:r>
            <w:r w:rsidRPr="00F83C7A" w:rsidR="00164C19">
              <w:rPr>
                <w:rFonts w:ascii="Cambria" w:hAnsi="Cambria" w:cs="Arial"/>
                <w:b/>
                <w:bCs/>
                <w:sz w:val="20"/>
                <w:szCs w:val="20"/>
              </w:rPr>
              <w:t xml:space="preserve">is not making sufficient progress through the </w:t>
            </w:r>
            <w:r w:rsidR="00C17386">
              <w:rPr>
                <w:rFonts w:ascii="Cambria" w:hAnsi="Cambria" w:cs="Arial"/>
                <w:b/>
                <w:bCs/>
                <w:sz w:val="20"/>
                <w:szCs w:val="20"/>
              </w:rPr>
              <w:t>curriculum and should be referred to the Associate Head of Department (ITE) for consideration of next steps.</w:t>
            </w:r>
            <w:r w:rsidRPr="00F07217" w:rsidR="00DB4B64">
              <w:rPr>
                <w:rFonts w:ascii="Georgia" w:hAnsi="Georgia" w:cs="Arial"/>
                <w:b/>
                <w:bCs/>
                <w:sz w:val="24"/>
                <w:szCs w:val="24"/>
              </w:rPr>
              <w:t xml:space="preserve"> </w:t>
            </w:r>
          </w:p>
        </w:tc>
      </w:tr>
      <w:bookmarkEnd w:id="0"/>
    </w:tbl>
    <w:p w:rsidR="000C0420" w:rsidRDefault="000C0420" w14:paraId="1FF584B5" w14:textId="77777777">
      <w:pPr>
        <w:spacing w:after="0"/>
      </w:pPr>
    </w:p>
    <w:tbl>
      <w:tblPr>
        <w:tblW w:w="5331" w:type="pct"/>
        <w:tblInd w:w="-441"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ook w:val="0620" w:firstRow="1" w:lastRow="0" w:firstColumn="0" w:lastColumn="0" w:noHBand="1" w:noVBand="1"/>
      </w:tblPr>
      <w:tblGrid>
        <w:gridCol w:w="2411"/>
        <w:gridCol w:w="9072"/>
      </w:tblGrid>
      <w:tr w:rsidRPr="00736154" w:rsidR="005C4DE7" w:rsidTr="00F83C7A" w14:paraId="2B058134" w14:textId="77777777">
        <w:trPr>
          <w:trHeight w:val="448"/>
        </w:trPr>
        <w:tc>
          <w:tcPr>
            <w:tcW w:w="1050" w:type="pct"/>
            <w:shd w:val="clear" w:color="auto" w:fill="B4C6E7" w:themeFill="accent1" w:themeFillTint="66"/>
          </w:tcPr>
          <w:p w:rsidRPr="00F83C7A" w:rsidR="005C4DE7" w:rsidP="00215118" w:rsidRDefault="005C4DE7" w14:paraId="22A85F45" w14:textId="77777777">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rsidRPr="00F83C7A" w:rsidR="005C4DE7" w:rsidP="00215118" w:rsidRDefault="005C4DE7" w14:paraId="305B90D7" w14:textId="77777777">
            <w:pPr>
              <w:spacing w:after="0" w:line="240" w:lineRule="auto"/>
              <w:rPr>
                <w:rFonts w:ascii="Cambria" w:hAnsi="Cambria" w:cs="Arial"/>
                <w:b/>
              </w:rPr>
            </w:pPr>
          </w:p>
        </w:tc>
        <w:tc>
          <w:tcPr>
            <w:tcW w:w="3950" w:type="pct"/>
            <w:vAlign w:val="center"/>
          </w:tcPr>
          <w:p w:rsidRPr="00F83C7A" w:rsidR="005C4DE7" w:rsidP="00215118" w:rsidRDefault="005C4DE7" w14:paraId="43D0597A" w14:textId="77777777">
            <w:pPr>
              <w:spacing w:after="0" w:line="240" w:lineRule="auto"/>
              <w:rPr>
                <w:rFonts w:ascii="Cambria" w:hAnsi="Cambria" w:cs="Arial"/>
                <w:bCs/>
              </w:rPr>
            </w:pPr>
          </w:p>
        </w:tc>
      </w:tr>
      <w:tr w:rsidRPr="00C05114" w:rsidR="005C4DE7" w:rsidTr="00F83C7A" w14:paraId="0152676E" w14:textId="77777777">
        <w:trPr>
          <w:trHeight w:val="448"/>
        </w:trPr>
        <w:tc>
          <w:tcPr>
            <w:tcW w:w="1050" w:type="pct"/>
            <w:shd w:val="clear" w:color="auto" w:fill="B4C6E7" w:themeFill="accent1" w:themeFillTint="66"/>
          </w:tcPr>
          <w:p w:rsidRPr="00F83C7A" w:rsidR="005C4DE7" w:rsidP="00215118" w:rsidRDefault="005C4DE7" w14:paraId="138ACE6B" w14:textId="3921E529">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rsidRPr="00F83C7A" w:rsidR="005C4DE7" w:rsidP="00215118" w:rsidRDefault="005C4DE7" w14:paraId="4F1D9292" w14:textId="77777777">
            <w:pPr>
              <w:spacing w:after="0" w:line="240" w:lineRule="auto"/>
              <w:rPr>
                <w:rFonts w:ascii="Cambria" w:hAnsi="Cambria" w:cs="Arial"/>
                <w:b/>
              </w:rPr>
            </w:pPr>
          </w:p>
        </w:tc>
        <w:tc>
          <w:tcPr>
            <w:tcW w:w="3950" w:type="pct"/>
            <w:vAlign w:val="center"/>
          </w:tcPr>
          <w:p w:rsidRPr="00F83C7A" w:rsidR="005C4DE7" w:rsidP="00215118" w:rsidRDefault="005C4DE7" w14:paraId="3C8CD19E" w14:textId="77777777">
            <w:pPr>
              <w:spacing w:after="0" w:line="240" w:lineRule="auto"/>
              <w:rPr>
                <w:rFonts w:ascii="Cambria" w:hAnsi="Cambria" w:cs="Arial"/>
                <w:bCs/>
              </w:rPr>
            </w:pPr>
            <w:r w:rsidRPr="00F83C7A">
              <w:rPr>
                <w:rFonts w:ascii="Cambria" w:hAnsi="Cambria" w:cs="Arial"/>
                <w:bCs/>
              </w:rPr>
              <w:t xml:space="preserve"> </w:t>
            </w:r>
          </w:p>
        </w:tc>
      </w:tr>
      <w:tr w:rsidRPr="00C05114" w:rsidR="005C4DE7" w:rsidTr="00A7227A" w14:paraId="00DD1E78" w14:textId="77777777">
        <w:trPr>
          <w:trHeight w:val="448"/>
        </w:trPr>
        <w:tc>
          <w:tcPr>
            <w:tcW w:w="5000" w:type="pct"/>
            <w:gridSpan w:val="2"/>
            <w:shd w:val="clear" w:color="auto" w:fill="auto"/>
          </w:tcPr>
          <w:p w:rsidRPr="00F83C7A" w:rsidR="005C4DE7" w:rsidP="00215118" w:rsidRDefault="005C4DE7" w14:paraId="51568FF2" w14:textId="0B076187">
            <w:pPr>
              <w:spacing w:after="0" w:line="240" w:lineRule="auto"/>
              <w:jc w:val="center"/>
              <w:rPr>
                <w:rFonts w:ascii="Cambria" w:hAnsi="Cambria" w:cs="Arial"/>
                <w:bCs/>
              </w:rPr>
            </w:pPr>
            <w:r w:rsidRPr="00F83C7A">
              <w:rPr>
                <w:rFonts w:ascii="Cambria" w:hAnsi="Cambria" w:cs="Arial"/>
                <w:bCs/>
              </w:rPr>
              <w:t>Trainee</w:t>
            </w:r>
            <w:r w:rsidRPr="00F83C7A" w:rsidR="00275428">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Pr="00F83C7A" w:rsidR="00275428">
              <w:rPr>
                <w:rFonts w:ascii="Cambria" w:hAnsi="Cambria" w:cs="Arial"/>
                <w:bCs/>
              </w:rPr>
              <w:t xml:space="preserve">may result in the trainee being placed on a Progress </w:t>
            </w:r>
            <w:r w:rsidRPr="00F83C7A" w:rsidR="00723015">
              <w:rPr>
                <w:rFonts w:ascii="Cambria" w:hAnsi="Cambria" w:cs="Arial"/>
                <w:bCs/>
              </w:rPr>
              <w:t>Support</w:t>
            </w:r>
            <w:r w:rsidRPr="00F83C7A" w:rsidR="00275428">
              <w:rPr>
                <w:rFonts w:ascii="Cambria" w:hAnsi="Cambria" w:cs="Arial"/>
                <w:bCs/>
              </w:rPr>
              <w:t xml:space="preserve"> Plan.</w:t>
            </w:r>
          </w:p>
        </w:tc>
      </w:tr>
    </w:tbl>
    <w:p w:rsidR="005C4DE7" w:rsidRDefault="005C4DE7" w14:paraId="4BE1844F" w14:textId="77777777">
      <w:pPr>
        <w:spacing w:after="0"/>
      </w:pPr>
    </w:p>
    <w:sectPr w:rsidR="005C4DE7" w:rsidSect="008A67D8">
      <w:headerReference w:type="default" r:id="rId19"/>
      <w:footerReference w:type="default" r:id="rId20"/>
      <w:pgSz w:w="12240" w:h="15840" w:orient="portrait"/>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3909" w:rsidP="00BB0205" w:rsidRDefault="006B3909" w14:paraId="7B1404EC" w14:textId="77777777">
      <w:pPr>
        <w:spacing w:after="0" w:line="240" w:lineRule="auto"/>
      </w:pPr>
      <w:r>
        <w:separator/>
      </w:r>
    </w:p>
  </w:endnote>
  <w:endnote w:type="continuationSeparator" w:id="0">
    <w:p w:rsidR="006B3909" w:rsidP="00BB0205" w:rsidRDefault="006B3909" w14:paraId="0F2A76B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rsidR="009C79B8" w:rsidRDefault="009C79B8" w14:paraId="61FB0216" w14:textId="68E150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C79B8" w:rsidRDefault="009C79B8" w14:paraId="06A380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3909" w:rsidP="00BB0205" w:rsidRDefault="006B3909" w14:paraId="41E2E3FC" w14:textId="77777777">
      <w:pPr>
        <w:spacing w:after="0" w:line="240" w:lineRule="auto"/>
      </w:pPr>
      <w:r>
        <w:separator/>
      </w:r>
    </w:p>
  </w:footnote>
  <w:footnote w:type="continuationSeparator" w:id="0">
    <w:p w:rsidR="006B3909" w:rsidP="00BB0205" w:rsidRDefault="006B3909" w14:paraId="1BEF0FF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B0205" w:rsidR="00BB0205" w:rsidP="00BB0205" w:rsidRDefault="00BB0205" w14:paraId="608BA685" w14:textId="2EDF6E14">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
    <w:nsid w:val="36d7607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5B578F"/>
    <w:multiLevelType w:val="hybridMultilevel"/>
    <w:tmpl w:val="7E806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DB67FB"/>
    <w:multiLevelType w:val="multilevel"/>
    <w:tmpl w:val="7F2C539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A36CAB"/>
    <w:multiLevelType w:val="multilevel"/>
    <w:tmpl w:val="7F2C539E"/>
    <w:lvl w:ilvl="0">
      <w:start w:val="1"/>
      <w:numFmt w:val="decimal"/>
      <w:lvlText w:val="%1."/>
      <w:lvlJc w:val="left"/>
      <w:pPr>
        <w:tabs>
          <w:tab w:val="num" w:pos="720"/>
        </w:tabs>
        <w:ind w:left="720" w:hanging="360"/>
      </w:pPr>
      <w:rPr>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8107419"/>
    <w:multiLevelType w:val="multilevel"/>
    <w:tmpl w:val="7F2C539E"/>
    <w:lvl w:ilvl="0">
      <w:start w:val="1"/>
      <w:numFmt w:val="decimal"/>
      <w:lvlText w:val="%1."/>
      <w:lvlJc w:val="left"/>
      <w:pPr>
        <w:tabs>
          <w:tab w:val="num" w:pos="720"/>
        </w:tabs>
        <w:ind w:left="720" w:hanging="360"/>
      </w:pPr>
      <w:rPr>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99E1541"/>
    <w:multiLevelType w:val="multilevel"/>
    <w:tmpl w:val="10BAEE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63160FE2"/>
    <w:multiLevelType w:val="multilevel"/>
    <w:tmpl w:val="FF46D41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7EA01F9D"/>
    <w:multiLevelType w:val="multilevel"/>
    <w:tmpl w:val="7F2C539E"/>
    <w:lvl w:ilvl="0">
      <w:start w:val="1"/>
      <w:numFmt w:val="decimal"/>
      <w:lvlText w:val="%1."/>
      <w:lvlJc w:val="left"/>
      <w:pPr>
        <w:tabs>
          <w:tab w:val="num" w:pos="720"/>
        </w:tabs>
        <w:ind w:left="720" w:hanging="360"/>
      </w:pPr>
      <w:rPr>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9">
    <w:abstractNumId w:val="8"/>
  </w:num>
  <w:num w:numId="1" w16cid:durableId="1670982005">
    <w:abstractNumId w:val="6"/>
  </w:num>
  <w:num w:numId="2" w16cid:durableId="745959156">
    <w:abstractNumId w:val="5"/>
  </w:num>
  <w:num w:numId="3" w16cid:durableId="365060952">
    <w:abstractNumId w:val="2"/>
  </w:num>
  <w:num w:numId="4" w16cid:durableId="970749666">
    <w:abstractNumId w:val="0"/>
  </w:num>
  <w:num w:numId="5" w16cid:durableId="671566246">
    <w:abstractNumId w:val="4"/>
  </w:num>
  <w:num w:numId="6" w16cid:durableId="2088108938">
    <w:abstractNumId w:val="3"/>
  </w:num>
  <w:num w:numId="7" w16cid:durableId="329526491">
    <w:abstractNumId w:val="1"/>
  </w:num>
  <w:num w:numId="8" w16cid:durableId="158291058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0072"/>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6943"/>
    <w:rsid w:val="002077E7"/>
    <w:rsid w:val="002176C6"/>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46426"/>
    <w:rsid w:val="00464034"/>
    <w:rsid w:val="00470596"/>
    <w:rsid w:val="00484DB8"/>
    <w:rsid w:val="00485777"/>
    <w:rsid w:val="004933A3"/>
    <w:rsid w:val="004A0E13"/>
    <w:rsid w:val="004C3CDB"/>
    <w:rsid w:val="004F5A59"/>
    <w:rsid w:val="005031C0"/>
    <w:rsid w:val="005061DF"/>
    <w:rsid w:val="005113AE"/>
    <w:rsid w:val="005120DA"/>
    <w:rsid w:val="00523D39"/>
    <w:rsid w:val="00532449"/>
    <w:rsid w:val="0054092D"/>
    <w:rsid w:val="00542102"/>
    <w:rsid w:val="005502E1"/>
    <w:rsid w:val="005511A4"/>
    <w:rsid w:val="005522F6"/>
    <w:rsid w:val="005532B5"/>
    <w:rsid w:val="00553CE4"/>
    <w:rsid w:val="00554743"/>
    <w:rsid w:val="00556F37"/>
    <w:rsid w:val="00560FE2"/>
    <w:rsid w:val="0057496A"/>
    <w:rsid w:val="005775AE"/>
    <w:rsid w:val="00580D88"/>
    <w:rsid w:val="00586ACC"/>
    <w:rsid w:val="005A6715"/>
    <w:rsid w:val="005B4FD8"/>
    <w:rsid w:val="005C4629"/>
    <w:rsid w:val="005C4DE7"/>
    <w:rsid w:val="005E244C"/>
    <w:rsid w:val="005F3947"/>
    <w:rsid w:val="005F5A1C"/>
    <w:rsid w:val="00606867"/>
    <w:rsid w:val="006102D0"/>
    <w:rsid w:val="006112AB"/>
    <w:rsid w:val="006135EC"/>
    <w:rsid w:val="006207CE"/>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544D"/>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71FAE"/>
    <w:rsid w:val="00B752B5"/>
    <w:rsid w:val="00B75F73"/>
    <w:rsid w:val="00B8188E"/>
    <w:rsid w:val="00BA06A2"/>
    <w:rsid w:val="00BA12BC"/>
    <w:rsid w:val="00BA3E39"/>
    <w:rsid w:val="00BB0205"/>
    <w:rsid w:val="00BC2D67"/>
    <w:rsid w:val="00BF017F"/>
    <w:rsid w:val="00BF1357"/>
    <w:rsid w:val="00BF6FA3"/>
    <w:rsid w:val="00C121E0"/>
    <w:rsid w:val="00C15D55"/>
    <w:rsid w:val="00C17386"/>
    <w:rsid w:val="00C6043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26EEE"/>
    <w:rsid w:val="00D67B11"/>
    <w:rsid w:val="00D7386B"/>
    <w:rsid w:val="00D8211D"/>
    <w:rsid w:val="00D852D6"/>
    <w:rsid w:val="00D9612E"/>
    <w:rsid w:val="00DA4C7E"/>
    <w:rsid w:val="00DB4B64"/>
    <w:rsid w:val="00DB662F"/>
    <w:rsid w:val="00DD5A4F"/>
    <w:rsid w:val="00DF760B"/>
    <w:rsid w:val="00E22452"/>
    <w:rsid w:val="00E27B26"/>
    <w:rsid w:val="00E457EF"/>
    <w:rsid w:val="00E45891"/>
    <w:rsid w:val="00E5003C"/>
    <w:rsid w:val="00E53DAA"/>
    <w:rsid w:val="00E65DEB"/>
    <w:rsid w:val="00E87F2A"/>
    <w:rsid w:val="00EA77D3"/>
    <w:rsid w:val="00EB1FA3"/>
    <w:rsid w:val="00EE0C18"/>
    <w:rsid w:val="00EE1D6A"/>
    <w:rsid w:val="00EE53F3"/>
    <w:rsid w:val="00EE5A74"/>
    <w:rsid w:val="00EE64A0"/>
    <w:rsid w:val="00EF0149"/>
    <w:rsid w:val="00EF0AF4"/>
    <w:rsid w:val="00F07217"/>
    <w:rsid w:val="00F27212"/>
    <w:rsid w:val="00F45E23"/>
    <w:rsid w:val="00F47EC2"/>
    <w:rsid w:val="00F51F3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 w:val="02AA97E1"/>
    <w:rsid w:val="0919D965"/>
    <w:rsid w:val="13A3C722"/>
    <w:rsid w:val="1F8E03DC"/>
    <w:rsid w:val="2165BDE7"/>
    <w:rsid w:val="245B783E"/>
    <w:rsid w:val="24DFAA60"/>
    <w:rsid w:val="2848C631"/>
    <w:rsid w:val="291BBDC5"/>
    <w:rsid w:val="2AC20EA2"/>
    <w:rsid w:val="2BB5096E"/>
    <w:rsid w:val="2EFC1A38"/>
    <w:rsid w:val="3D5D4544"/>
    <w:rsid w:val="3EF915A5"/>
    <w:rsid w:val="4747EF89"/>
    <w:rsid w:val="4C7D467D"/>
    <w:rsid w:val="5D2C3247"/>
    <w:rsid w:val="7A9F5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0205"/>
    <w:rPr>
      <w:rFonts w:ascii="Calibri" w:hAnsi="Calibri" w:eastAsia="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0205"/>
    <w:rPr>
      <w:rFonts w:ascii="Calibri" w:hAnsi="Calibri" w:eastAsia="Calibri" w:cs="Calibri"/>
      <w:color w:val="000000"/>
    </w:rPr>
  </w:style>
  <w:style w:type="table" w:styleId="TableGrid0">
    <w:name w:val="Table Grid"/>
    <w:basedOn w:val="TableNormal"/>
    <w:uiPriority w:val="39"/>
    <w:rsid w:val="002039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styleId="Default" w:customStyle="1">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styleId="xmsolistparagraph" w:customStyle="1">
    <w:name w:val="x_msolistparagraph"/>
    <w:basedOn w:val="Normal"/>
    <w:rsid w:val="00800444"/>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hAnsi="Arial" w:eastAsiaTheme="minorHAnsi"/>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styleId="NoSpacingChar" w:customStyle="1">
    <w:name w:val="No Spacing Char"/>
    <w:link w:val="NoSpacing"/>
    <w:uiPriority w:val="1"/>
    <w:rsid w:val="00FF0E23"/>
    <w:rPr>
      <w:rFonts w:ascii="Arial" w:hAnsi="Arial" w:eastAsiaTheme="minorHAnsi"/>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styleId="CommentTextChar" w:customStyle="1">
    <w:name w:val="Comment Text Char"/>
    <w:basedOn w:val="DefaultParagraphFont"/>
    <w:link w:val="CommentText"/>
    <w:uiPriority w:val="99"/>
    <w:rsid w:val="00554743"/>
    <w:rPr>
      <w:rFonts w:ascii="Arial" w:hAnsi="Arial" w:eastAsia="Calibri"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styleId="paragraph" w:customStyle="1">
    <w:name w:val="paragraph"/>
    <w:basedOn w:val="Normal"/>
    <w:rsid w:val="005522F6"/>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5522F6"/>
  </w:style>
  <w:style w:type="character" w:styleId="eop" w:customStyle="1">
    <w:name w:val="eop"/>
    <w:basedOn w:val="DefaultParagraphFont"/>
    <w:rsid w:val="005522F6"/>
  </w:style>
  <w:style w:type="character" w:styleId="scxw81228372" w:customStyle="1">
    <w:name w:val="scxw81228372"/>
    <w:basedOn w:val="DefaultParagraphFont"/>
    <w:rsid w:val="00552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616721202">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873420803">
      <w:bodyDiv w:val="1"/>
      <w:marLeft w:val="0"/>
      <w:marRight w:val="0"/>
      <w:marTop w:val="0"/>
      <w:marBottom w:val="0"/>
      <w:divBdr>
        <w:top w:val="none" w:sz="0" w:space="0" w:color="auto"/>
        <w:left w:val="none" w:sz="0" w:space="0" w:color="auto"/>
        <w:bottom w:val="none" w:sz="0" w:space="0" w:color="auto"/>
        <w:right w:val="none" w:sz="0" w:space="0" w:color="auto"/>
      </w:divBdr>
    </w:div>
    <w:div w:id="1949463526">
      <w:bodyDiv w:val="1"/>
      <w:marLeft w:val="0"/>
      <w:marRight w:val="0"/>
      <w:marTop w:val="0"/>
      <w:marBottom w:val="0"/>
      <w:divBdr>
        <w:top w:val="none" w:sz="0" w:space="0" w:color="auto"/>
        <w:left w:val="none" w:sz="0" w:space="0" w:color="auto"/>
        <w:bottom w:val="none" w:sz="0" w:space="0" w:color="auto"/>
        <w:right w:val="none" w:sz="0" w:space="0" w:color="auto"/>
      </w:divBdr>
      <w:divsChild>
        <w:div w:id="1703281002">
          <w:marLeft w:val="0"/>
          <w:marRight w:val="0"/>
          <w:marTop w:val="0"/>
          <w:marBottom w:val="0"/>
          <w:divBdr>
            <w:top w:val="none" w:sz="0" w:space="0" w:color="auto"/>
            <w:left w:val="none" w:sz="0" w:space="0" w:color="auto"/>
            <w:bottom w:val="none" w:sz="0" w:space="0" w:color="auto"/>
            <w:right w:val="none" w:sz="0" w:space="0" w:color="auto"/>
          </w:divBdr>
        </w:div>
        <w:div w:id="933514338">
          <w:marLeft w:val="0"/>
          <w:marRight w:val="0"/>
          <w:marTop w:val="0"/>
          <w:marBottom w:val="0"/>
          <w:divBdr>
            <w:top w:val="none" w:sz="0" w:space="0" w:color="auto"/>
            <w:left w:val="none" w:sz="0" w:space="0" w:color="auto"/>
            <w:bottom w:val="none" w:sz="0" w:space="0" w:color="auto"/>
            <w:right w:val="none" w:sz="0" w:space="0" w:color="auto"/>
          </w:divBdr>
        </w:div>
        <w:div w:id="1703748364">
          <w:marLeft w:val="0"/>
          <w:marRight w:val="0"/>
          <w:marTop w:val="0"/>
          <w:marBottom w:val="0"/>
          <w:divBdr>
            <w:top w:val="none" w:sz="0" w:space="0" w:color="auto"/>
            <w:left w:val="none" w:sz="0" w:space="0" w:color="auto"/>
            <w:bottom w:val="none" w:sz="0" w:space="0" w:color="auto"/>
            <w:right w:val="none" w:sz="0" w:space="0" w:color="auto"/>
          </w:divBdr>
        </w:div>
        <w:div w:id="380984225">
          <w:marLeft w:val="0"/>
          <w:marRight w:val="0"/>
          <w:marTop w:val="0"/>
          <w:marBottom w:val="0"/>
          <w:divBdr>
            <w:top w:val="none" w:sz="0" w:space="0" w:color="auto"/>
            <w:left w:val="none" w:sz="0" w:space="0" w:color="auto"/>
            <w:bottom w:val="none" w:sz="0" w:space="0" w:color="auto"/>
            <w:right w:val="none" w:sz="0" w:space="0" w:color="auto"/>
          </w:divBdr>
        </w:div>
        <w:div w:id="1465350829">
          <w:marLeft w:val="0"/>
          <w:marRight w:val="0"/>
          <w:marTop w:val="0"/>
          <w:marBottom w:val="0"/>
          <w:divBdr>
            <w:top w:val="none" w:sz="0" w:space="0" w:color="auto"/>
            <w:left w:val="none" w:sz="0" w:space="0" w:color="auto"/>
            <w:bottom w:val="none" w:sz="0" w:space="0" w:color="auto"/>
            <w:right w:val="none" w:sz="0" w:space="0" w:color="auto"/>
          </w:divBdr>
        </w:div>
        <w:div w:id="1666400398">
          <w:marLeft w:val="0"/>
          <w:marRight w:val="0"/>
          <w:marTop w:val="0"/>
          <w:marBottom w:val="0"/>
          <w:divBdr>
            <w:top w:val="none" w:sz="0" w:space="0" w:color="auto"/>
            <w:left w:val="none" w:sz="0" w:space="0" w:color="auto"/>
            <w:bottom w:val="none" w:sz="0" w:space="0" w:color="auto"/>
            <w:right w:val="none" w:sz="0" w:space="0" w:color="auto"/>
          </w:divBdr>
        </w:div>
        <w:div w:id="649602504">
          <w:marLeft w:val="0"/>
          <w:marRight w:val="0"/>
          <w:marTop w:val="0"/>
          <w:marBottom w:val="0"/>
          <w:divBdr>
            <w:top w:val="none" w:sz="0" w:space="0" w:color="auto"/>
            <w:left w:val="none" w:sz="0" w:space="0" w:color="auto"/>
            <w:bottom w:val="none" w:sz="0" w:space="0" w:color="auto"/>
            <w:right w:val="none" w:sz="0" w:space="0" w:color="auto"/>
          </w:divBdr>
        </w:div>
        <w:div w:id="2025814742">
          <w:marLeft w:val="0"/>
          <w:marRight w:val="0"/>
          <w:marTop w:val="0"/>
          <w:marBottom w:val="0"/>
          <w:divBdr>
            <w:top w:val="none" w:sz="0" w:space="0" w:color="auto"/>
            <w:left w:val="none" w:sz="0" w:space="0" w:color="auto"/>
            <w:bottom w:val="none" w:sz="0" w:space="0" w:color="auto"/>
            <w:right w:val="none" w:sz="0" w:space="0" w:color="auto"/>
          </w:divBdr>
        </w:div>
        <w:div w:id="87818263">
          <w:marLeft w:val="0"/>
          <w:marRight w:val="0"/>
          <w:marTop w:val="0"/>
          <w:marBottom w:val="0"/>
          <w:divBdr>
            <w:top w:val="none" w:sz="0" w:space="0" w:color="auto"/>
            <w:left w:val="none" w:sz="0" w:space="0" w:color="auto"/>
            <w:bottom w:val="none" w:sz="0" w:space="0" w:color="auto"/>
            <w:right w:val="none" w:sz="0" w:space="0" w:color="auto"/>
          </w:divBdr>
        </w:div>
        <w:div w:id="20159549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7.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2.jpg" Id="rId12" /><Relationship Type="http://schemas.openxmlformats.org/officeDocument/2006/relationships/image" Target="media/image6.png"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4.jpg" Id="rId15"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png" Id="rId14" /><Relationship Type="http://schemas.openxmlformats.org/officeDocument/2006/relationships/theme" Target="theme/theme1.xml" Id="rId22" /><Relationship Type="http://schemas.openxmlformats.org/officeDocument/2006/relationships/hyperlink" Target="https://tdtrust.org/wp-content/uploads/2015/10/DGT-Full-report.pdf" TargetMode="External" Id="Rf9ce760c68fa4fdb" /><Relationship Type="http://schemas.openxmlformats.org/officeDocument/2006/relationships/hyperlink" Target="https://edgehill.on.worldcat.org/oclc/1001316091" TargetMode="External" Id="R203c3303a98a4227" /><Relationship Type="http://schemas.openxmlformats.org/officeDocument/2006/relationships/glossaryDocument" Target="glossary/document.xml" Id="Re1f725e4fd8a4ae6" /></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736a23d-4867-4349-8bae-af1f1efe3f6d}"/>
      </w:docPartPr>
      <w:docPartBody>
        <w:p w14:paraId="537F04E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Felix Obadan</dc:creator>
  <keywords/>
  <lastModifiedBy>Glenn Millington</lastModifiedBy>
  <revision>3</revision>
  <lastPrinted>2023-05-18T14:08:00.0000000Z</lastPrinted>
  <dcterms:created xsi:type="dcterms:W3CDTF">2023-12-07T11:29:00.0000000Z</dcterms:created>
  <dcterms:modified xsi:type="dcterms:W3CDTF">2024-02-29T09:53:11.6875734Z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