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005AC40"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w:t>
            </w:r>
            <w:r w:rsidR="00C91033">
              <w:rPr>
                <w:rFonts w:ascii="Cambria" w:eastAsia="Georgia" w:hAnsi="Cambria" w:cs="Georgia"/>
                <w:b/>
                <w:color w:val="FFFFFF" w:themeColor="background1"/>
                <w:sz w:val="20"/>
                <w:szCs w:val="20"/>
              </w:rPr>
              <w:br/>
            </w:r>
            <w:r w:rsidR="00966A4C" w:rsidRPr="00523D39">
              <w:rPr>
                <w:rFonts w:ascii="Cambria" w:eastAsia="Georgia" w:hAnsi="Cambria" w:cs="Georgia"/>
                <w:b/>
                <w:color w:val="FFFFFF" w:themeColor="background1"/>
                <w:sz w:val="20"/>
                <w:szCs w:val="20"/>
              </w:rPr>
              <w:t>(AY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F6991D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E208CC">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252EC200" w:rsidR="00A163EA" w:rsidRPr="00523D39" w:rsidRDefault="00A163EA" w:rsidP="00A163EA">
            <w:pPr>
              <w:rPr>
                <w:rFonts w:ascii="Cambria" w:hAnsi="Cambria"/>
                <w:b/>
                <w:bCs/>
                <w:sz w:val="20"/>
                <w:szCs w:val="20"/>
              </w:rPr>
            </w:pP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69F14CE3" w14:textId="1F683F3D" w:rsidR="00AE0D6F" w:rsidRPr="00523D39"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958E9FA" w:rsidR="004009A7" w:rsidRPr="00523D39" w:rsidRDefault="002708EC">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6A396E3" w:rsidR="004009A7" w:rsidRPr="00D21504" w:rsidRDefault="007F4E74">
            <w:pPr>
              <w:jc w:val="both"/>
              <w:rPr>
                <w:rFonts w:ascii="Cambria" w:hAnsi="Cambria"/>
                <w:b/>
                <w:bCs/>
                <w:sz w:val="18"/>
                <w:szCs w:val="18"/>
              </w:rPr>
            </w:pPr>
            <w:r>
              <w:rPr>
                <w:rFonts w:ascii="Cambria" w:hAnsi="Cambria"/>
                <w:b/>
                <w:bCs/>
                <w:sz w:val="18"/>
                <w:szCs w:val="18"/>
              </w:rPr>
              <w:t xml:space="preserve">Secondary UG RE </w:t>
            </w:r>
            <w:r w:rsidR="00C91033">
              <w:rPr>
                <w:rFonts w:ascii="Cambria" w:hAnsi="Cambria"/>
                <w:b/>
                <w:bCs/>
                <w:sz w:val="18"/>
                <w:szCs w:val="18"/>
              </w:rPr>
              <w:t xml:space="preserve">with </w:t>
            </w:r>
            <w:r>
              <w:rPr>
                <w:rFonts w:ascii="Cambria" w:hAnsi="Cambria"/>
                <w:b/>
                <w:bCs/>
                <w:sz w:val="18"/>
                <w:szCs w:val="18"/>
              </w:rPr>
              <w:t>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AA38661" w:rsidR="004009A7" w:rsidRPr="00523D39" w:rsidRDefault="00E208CC">
            <w:pPr>
              <w:jc w:val="both"/>
              <w:rPr>
                <w:rFonts w:ascii="Cambria" w:hAnsi="Cambria"/>
                <w:b/>
                <w:bCs/>
                <w:sz w:val="20"/>
                <w:szCs w:val="20"/>
              </w:rPr>
            </w:pPr>
            <w:r w:rsidRPr="00E208CC">
              <w:rPr>
                <w:rFonts w:ascii="Cambria" w:hAnsi="Cambria"/>
                <w:b/>
                <w:bCs/>
                <w:sz w:val="20"/>
                <w:szCs w:val="20"/>
              </w:rPr>
              <w:t>11</w:t>
            </w:r>
            <w:r w:rsidR="006E4CBC" w:rsidRPr="006E4CBC">
              <w:rPr>
                <w:rFonts w:ascii="Cambria" w:hAnsi="Cambria"/>
                <w:b/>
                <w:bCs/>
                <w:sz w:val="20"/>
                <w:szCs w:val="20"/>
                <w:vertAlign w:val="superscript"/>
              </w:rPr>
              <w:t>th</w:t>
            </w:r>
            <w:r w:rsidR="006E4CBC">
              <w:rPr>
                <w:rFonts w:ascii="Cambria" w:hAnsi="Cambria"/>
                <w:b/>
                <w:bCs/>
                <w:sz w:val="20"/>
                <w:szCs w:val="20"/>
              </w:rPr>
              <w:t xml:space="preserve"> </w:t>
            </w:r>
            <w:r w:rsidR="00AF0270">
              <w:rPr>
                <w:rFonts w:ascii="Cambria" w:hAnsi="Cambria"/>
                <w:b/>
                <w:bCs/>
                <w:sz w:val="20"/>
                <w:szCs w:val="20"/>
              </w:rPr>
              <w:t>March</w:t>
            </w:r>
            <w:r w:rsidR="006E4CBC">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E670204" w14:textId="77777777" w:rsidR="00E208CC" w:rsidRPr="0062003B" w:rsidRDefault="00E208CC" w:rsidP="00E208CC">
            <w:pPr>
              <w:pStyle w:val="NoSpacing"/>
              <w:rPr>
                <w:rFonts w:asciiTheme="minorHAnsi" w:hAnsiTheme="minorHAnsi" w:cstheme="minorHAnsi"/>
                <w:b/>
                <w:bCs/>
                <w:sz w:val="22"/>
              </w:rPr>
            </w:pPr>
            <w:r w:rsidRPr="0062003B">
              <w:rPr>
                <w:rFonts w:asciiTheme="minorHAnsi" w:hAnsiTheme="minorHAnsi" w:cstheme="minorHAnsi"/>
                <w:b/>
                <w:bCs/>
                <w:sz w:val="22"/>
              </w:rPr>
              <w:t>Summary</w:t>
            </w:r>
          </w:p>
          <w:p w14:paraId="30C537EF"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The focus of the reading is on improving the attainment and wider outcomes of all children and young people and particularly the twenty per cent of the school population identified as disabled or with special educational needs.</w:t>
            </w:r>
          </w:p>
          <w:p w14:paraId="18FF958E"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xml:space="preserve">Recent UK evidence shows that teachers who are effective in teaching disadvantaged learners demonstrate skills in a ‘bundle’ of strategies. For example, they: </w:t>
            </w:r>
          </w:p>
          <w:p w14:paraId="2019383D" w14:textId="77777777" w:rsidR="00E208CC" w:rsidRPr="0062003B" w:rsidRDefault="00E208CC" w:rsidP="00E208CC">
            <w:pPr>
              <w:pStyle w:val="NoSpacing"/>
              <w:rPr>
                <w:rFonts w:asciiTheme="minorHAnsi" w:hAnsiTheme="minorHAnsi" w:cstheme="minorHAnsi"/>
                <w:sz w:val="22"/>
              </w:rPr>
            </w:pPr>
          </w:p>
          <w:p w14:paraId="028F32DD"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xml:space="preserve">• Have excellent organizational skills: teachers have clear learning objectives for lessons and make sure their learners understand them. They also organize their resources well and have clear, well-established and smooth classroom routines. </w:t>
            </w:r>
          </w:p>
          <w:p w14:paraId="4A9EEC53"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xml:space="preserve">• Establish a positive classroom climate: teachers have positive relationships with their learners and create happy classrooms with mutual respect and positive expectations for achievement. </w:t>
            </w:r>
          </w:p>
          <w:p w14:paraId="4DDD1428"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xml:space="preserve">• Personalize their teaching: teachers are sensitive to the needs and interests of their pupils and provide a variety of resources to suit individual pupils. </w:t>
            </w:r>
          </w:p>
          <w:p w14:paraId="355B1182"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Use dialogic teaching and learning: pupils work collaboratively, receive evaluative feedback from their teachers (and from their peers) and spend more time learning.</w:t>
            </w:r>
          </w:p>
          <w:p w14:paraId="01BB6CF1"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 Make more frequent use of the ‘plenary’: teachers use whole-class methods to provide feedback and to allow further discussion.</w:t>
            </w:r>
          </w:p>
          <w:p w14:paraId="0E4EFC52" w14:textId="77777777" w:rsidR="00E208CC" w:rsidRPr="0062003B" w:rsidRDefault="00E208CC" w:rsidP="00E208CC">
            <w:pPr>
              <w:pStyle w:val="NoSpacing"/>
              <w:rPr>
                <w:rFonts w:asciiTheme="minorHAnsi" w:hAnsiTheme="minorHAnsi" w:cstheme="minorHAnsi"/>
                <w:sz w:val="22"/>
              </w:rPr>
            </w:pPr>
          </w:p>
          <w:p w14:paraId="07329410" w14:textId="77777777" w:rsidR="00E208CC" w:rsidRPr="0062003B" w:rsidRDefault="00E208CC" w:rsidP="00E208CC">
            <w:pPr>
              <w:pStyle w:val="NoSpacing"/>
              <w:rPr>
                <w:rFonts w:asciiTheme="minorHAnsi" w:hAnsiTheme="minorHAnsi" w:cstheme="minorHAnsi"/>
                <w:b/>
                <w:bCs/>
                <w:sz w:val="22"/>
              </w:rPr>
            </w:pPr>
            <w:r w:rsidRPr="0062003B">
              <w:rPr>
                <w:rFonts w:asciiTheme="minorHAnsi" w:hAnsiTheme="minorHAnsi" w:cstheme="minorHAnsi"/>
                <w:b/>
                <w:bCs/>
                <w:sz w:val="22"/>
              </w:rPr>
              <w:t>Limitations</w:t>
            </w:r>
          </w:p>
          <w:p w14:paraId="3A66CBC1" w14:textId="77777777" w:rsidR="00E208CC" w:rsidRPr="0062003B" w:rsidRDefault="00E208CC" w:rsidP="00E208CC">
            <w:pPr>
              <w:pStyle w:val="NoSpacing"/>
              <w:rPr>
                <w:rFonts w:asciiTheme="minorHAnsi" w:hAnsiTheme="minorHAnsi" w:cstheme="minorHAnsi"/>
                <w:sz w:val="22"/>
              </w:rPr>
            </w:pPr>
            <w:r w:rsidRPr="0062003B">
              <w:rPr>
                <w:rFonts w:asciiTheme="minorHAnsi" w:hAnsiTheme="minorHAnsi" w:cstheme="minorHAnsi"/>
                <w:sz w:val="22"/>
              </w:rPr>
              <w:t>Evidence-based practices are not free from debate. Some writers criticize the prominence given to quantitative or positivist research in general and to randomized controlled trials (RCTs)</w:t>
            </w:r>
            <w:proofErr w:type="gramStart"/>
            <w:r w:rsidRPr="0062003B">
              <w:rPr>
                <w:rFonts w:asciiTheme="minorHAnsi" w:hAnsiTheme="minorHAnsi" w:cstheme="minorHAnsi"/>
                <w:sz w:val="22"/>
              </w:rPr>
              <w:t>, in particular, to</w:t>
            </w:r>
            <w:proofErr w:type="gramEnd"/>
            <w:r w:rsidRPr="0062003B">
              <w:rPr>
                <w:rFonts w:asciiTheme="minorHAnsi" w:hAnsiTheme="minorHAnsi" w:cstheme="minorHAnsi"/>
                <w:sz w:val="22"/>
              </w:rPr>
              <w:t xml:space="preserve"> test the outcomes of interventions.</w:t>
            </w:r>
          </w:p>
          <w:p w14:paraId="14A38FD2" w14:textId="77777777" w:rsidR="00E208CC" w:rsidRPr="0062003B" w:rsidRDefault="00E208CC" w:rsidP="00E208CC">
            <w:pPr>
              <w:pStyle w:val="NoSpacing"/>
              <w:rPr>
                <w:rFonts w:asciiTheme="minorHAnsi" w:hAnsiTheme="minorHAnsi" w:cstheme="minorHAnsi"/>
                <w:sz w:val="22"/>
              </w:rPr>
            </w:pPr>
          </w:p>
          <w:p w14:paraId="61D1238F" w14:textId="77777777" w:rsidR="00E208CC" w:rsidRPr="0062003B" w:rsidRDefault="00E208CC" w:rsidP="00E208CC">
            <w:pPr>
              <w:pStyle w:val="NoSpacing"/>
              <w:rPr>
                <w:rFonts w:asciiTheme="minorHAnsi" w:hAnsiTheme="minorHAnsi" w:cstheme="minorHAnsi"/>
                <w:b/>
                <w:bCs/>
                <w:sz w:val="22"/>
              </w:rPr>
            </w:pPr>
            <w:r w:rsidRPr="0062003B">
              <w:rPr>
                <w:rFonts w:asciiTheme="minorHAnsi" w:hAnsiTheme="minorHAnsi" w:cstheme="minorHAnsi"/>
                <w:b/>
                <w:bCs/>
                <w:sz w:val="22"/>
              </w:rPr>
              <w:t>Reference</w:t>
            </w:r>
          </w:p>
          <w:p w14:paraId="6071F449" w14:textId="2F4E0E99" w:rsidR="0066365A" w:rsidRPr="006E4CBC" w:rsidRDefault="00E208CC" w:rsidP="00E208CC">
            <w:pPr>
              <w:jc w:val="both"/>
              <w:rPr>
                <w:rFonts w:asciiTheme="minorHAnsi" w:hAnsiTheme="minorHAnsi" w:cstheme="minorHAnsi"/>
                <w:sz w:val="18"/>
                <w:szCs w:val="18"/>
              </w:rPr>
            </w:pPr>
            <w:r w:rsidRPr="0062003B">
              <w:rPr>
                <w:rFonts w:asciiTheme="minorHAnsi" w:hAnsiTheme="minorHAnsi" w:cstheme="minorHAnsi"/>
              </w:rPr>
              <w:t>Mitchell, D. (2014). What really works in special and inclusive education. Oxford: Routledge.</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77EC68F" w14:textId="77777777" w:rsidR="00C91033" w:rsidRPr="00C91033" w:rsidRDefault="00C91033" w:rsidP="00C91033">
            <w:pPr>
              <w:pStyle w:val="paragraph"/>
              <w:textAlignment w:val="baseline"/>
              <w:rPr>
                <w:rFonts w:ascii="Cambria" w:hAnsi="Cambria" w:cstheme="minorHAnsi"/>
                <w:sz w:val="20"/>
                <w:szCs w:val="20"/>
              </w:rPr>
            </w:pPr>
            <w:r w:rsidRPr="00C91033">
              <w:rPr>
                <w:rFonts w:ascii="Cambria" w:hAnsi="Cambria" w:cstheme="minorHAnsi"/>
                <w:sz w:val="20"/>
                <w:szCs w:val="20"/>
              </w:rPr>
              <w:t xml:space="preserve">Two subject specific offerings this week – first a </w:t>
            </w:r>
            <w:hyperlink r:id="rId12" w:history="1">
              <w:r w:rsidRPr="00C91033">
                <w:rPr>
                  <w:rStyle w:val="Hyperlink"/>
                  <w:rFonts w:ascii="Cambria" w:hAnsi="Cambria" w:cstheme="minorHAnsi"/>
                  <w:sz w:val="20"/>
                  <w:szCs w:val="20"/>
                </w:rPr>
                <w:t>blog</w:t>
              </w:r>
            </w:hyperlink>
            <w:r w:rsidRPr="00C91033">
              <w:rPr>
                <w:rFonts w:ascii="Cambria" w:hAnsi="Cambria" w:cstheme="minorHAnsi"/>
                <w:sz w:val="20"/>
                <w:szCs w:val="20"/>
              </w:rPr>
              <w:t xml:space="preserve"> from Wayne </w:t>
            </w:r>
            <w:proofErr w:type="spellStart"/>
            <w:r w:rsidRPr="00C91033">
              <w:rPr>
                <w:rFonts w:ascii="Cambria" w:hAnsi="Cambria" w:cstheme="minorHAnsi"/>
                <w:sz w:val="20"/>
                <w:szCs w:val="20"/>
              </w:rPr>
              <w:t>Buisst</w:t>
            </w:r>
            <w:proofErr w:type="spellEnd"/>
            <w:r w:rsidRPr="00C91033">
              <w:rPr>
                <w:rFonts w:ascii="Cambria" w:hAnsi="Cambria" w:cstheme="minorHAnsi"/>
                <w:sz w:val="20"/>
                <w:szCs w:val="20"/>
              </w:rPr>
              <w:t xml:space="preserve"> where he has gathered lots of great advice (including from one of our mentors, Natalie Ford) and secondly a slightly dated – but really useful </w:t>
            </w:r>
            <w:hyperlink r:id="rId13" w:history="1">
              <w:r w:rsidRPr="00C91033">
                <w:rPr>
                  <w:rStyle w:val="Hyperlink"/>
                  <w:rFonts w:ascii="Cambria" w:hAnsi="Cambria" w:cstheme="minorHAnsi"/>
                  <w:sz w:val="20"/>
                  <w:szCs w:val="20"/>
                </w:rPr>
                <w:t>official document</w:t>
              </w:r>
            </w:hyperlink>
            <w:r w:rsidRPr="00C91033">
              <w:rPr>
                <w:rFonts w:ascii="Cambria" w:hAnsi="Cambria" w:cstheme="minorHAnsi"/>
                <w:sz w:val="20"/>
                <w:szCs w:val="20"/>
              </w:rPr>
              <w:t xml:space="preserve"> from (what was then, in 2009) the TDA.</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C91033">
        <w:trPr>
          <w:trHeight w:val="2966"/>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6E272C4" w14:textId="77777777" w:rsidR="00E208CC" w:rsidRPr="008C6E2E" w:rsidRDefault="00E208CC" w:rsidP="00E208CC">
            <w:pPr>
              <w:pStyle w:val="ListParagraph"/>
              <w:numPr>
                <w:ilvl w:val="0"/>
                <w:numId w:val="25"/>
              </w:numPr>
              <w:spacing w:line="276" w:lineRule="auto"/>
              <w:contextualSpacing w:val="0"/>
            </w:pPr>
            <w:r>
              <w:t>Teaching assistants (TAs) can support pupils more effectively in RE when they are prepared for lessons by teachers, and when TAs supplement rather than replace support from teachers.</w:t>
            </w:r>
          </w:p>
          <w:p w14:paraId="58599CE6" w14:textId="77777777" w:rsidR="00E208CC" w:rsidRPr="008C6E2E" w:rsidRDefault="00E208CC" w:rsidP="00E208CC">
            <w:pPr>
              <w:pStyle w:val="ListParagraph"/>
              <w:numPr>
                <w:ilvl w:val="0"/>
                <w:numId w:val="25"/>
              </w:numPr>
              <w:spacing w:line="276" w:lineRule="auto"/>
              <w:contextualSpacing w:val="0"/>
            </w:pPr>
            <w:r>
              <w:t xml:space="preserve">Adapting teaching in RE is less likely to be valuable if it causes the teacher to artificially create distinct tasks for different groups of pupils or to set lower expectations for </w:t>
            </w:r>
            <w:proofErr w:type="gramStart"/>
            <w:r>
              <w:t>particular pupils</w:t>
            </w:r>
            <w:proofErr w:type="gramEnd"/>
            <w:r>
              <w:t>.</w:t>
            </w:r>
          </w:p>
          <w:p w14:paraId="4E488AE5" w14:textId="78EAD85D" w:rsidR="00CB44DE" w:rsidRPr="006E4CBC" w:rsidRDefault="00E208CC" w:rsidP="00FA752A">
            <w:pPr>
              <w:pStyle w:val="ListParagraph"/>
              <w:numPr>
                <w:ilvl w:val="0"/>
                <w:numId w:val="17"/>
              </w:numPr>
              <w:spacing w:line="276" w:lineRule="auto"/>
              <w:contextualSpacing w:val="0"/>
              <w:rPr>
                <w:rFonts w:ascii="Arial" w:hAnsi="Arial" w:cs="Arial"/>
              </w:rPr>
            </w:pPr>
            <w:r>
              <w:t>Guides, scaffolds and worked examples, such as guided reading or writing frames, can help pupils apply new ideas, but should be gradually removed as pupil expertise increases.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479EA95B" w14:textId="77777777" w:rsidR="00E208CC" w:rsidRDefault="000F3320" w:rsidP="000F3320">
            <w:pPr>
              <w:rPr>
                <w:rFonts w:ascii="Cambria" w:hAnsi="Cambria"/>
                <w:sz w:val="20"/>
                <w:szCs w:val="20"/>
              </w:rPr>
            </w:pPr>
            <w:r>
              <w:rPr>
                <w:rFonts w:ascii="Cambria" w:hAnsi="Cambria"/>
                <w:sz w:val="20"/>
                <w:szCs w:val="20"/>
              </w:rPr>
              <w:t xml:space="preserve"> </w:t>
            </w:r>
          </w:p>
          <w:p w14:paraId="2B01F755" w14:textId="573AA9FA" w:rsidR="00C26EC1" w:rsidRDefault="00E208CC" w:rsidP="000F3320">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7B93F36" w14:textId="77777777" w:rsidR="00E208CC" w:rsidRDefault="000F3320" w:rsidP="006E4CBC">
            <w:pPr>
              <w:rPr>
                <w:rFonts w:ascii="Cambria" w:hAnsi="Cambria"/>
                <w:sz w:val="20"/>
                <w:szCs w:val="20"/>
              </w:rPr>
            </w:pPr>
            <w:r>
              <w:rPr>
                <w:rFonts w:ascii="Cambria" w:hAnsi="Cambria"/>
                <w:sz w:val="20"/>
                <w:szCs w:val="20"/>
              </w:rPr>
              <w:t xml:space="preserve"> </w:t>
            </w:r>
          </w:p>
          <w:p w14:paraId="3427761D" w14:textId="77777777" w:rsidR="00E208CC" w:rsidRDefault="00E208CC" w:rsidP="006E4CBC">
            <w:pPr>
              <w:rPr>
                <w:rFonts w:ascii="Cambria" w:hAnsi="Cambria"/>
                <w:sz w:val="20"/>
                <w:szCs w:val="20"/>
              </w:rPr>
            </w:pPr>
          </w:p>
          <w:p w14:paraId="17248A47" w14:textId="1A5C2185" w:rsidR="00C26EC1" w:rsidRDefault="00E208CC"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57B89D8" w14:textId="12350C7E" w:rsidR="00E208CC" w:rsidRPr="008C6E2E" w:rsidRDefault="00FA752A" w:rsidP="00E208CC">
            <w:pPr>
              <w:pStyle w:val="ListParagraph"/>
              <w:numPr>
                <w:ilvl w:val="0"/>
                <w:numId w:val="17"/>
              </w:numPr>
              <w:spacing w:line="276" w:lineRule="auto"/>
              <w:contextualSpacing w:val="0"/>
            </w:pPr>
            <w:r>
              <w:t>.</w:t>
            </w:r>
            <w:r w:rsidR="00E208CC">
              <w:t xml:space="preserve"> Under the supervision of expert colleagues, make effective use of TAs, additional support staff and specialist support (e.g., SENCO, DSL)</w:t>
            </w:r>
          </w:p>
          <w:p w14:paraId="6F63E494" w14:textId="77777777" w:rsidR="00E208CC" w:rsidRDefault="00E208CC" w:rsidP="00E208CC">
            <w:pPr>
              <w:pStyle w:val="ListParagraph"/>
              <w:numPr>
                <w:ilvl w:val="0"/>
                <w:numId w:val="17"/>
              </w:numPr>
              <w:spacing w:line="276" w:lineRule="auto"/>
              <w:contextualSpacing w:val="0"/>
            </w:pPr>
            <w:r>
              <w:t>Plan for the use of TAs in RE lessons, recognising this is in addition to, rather than replacement of, support from the teacher.</w:t>
            </w:r>
          </w:p>
          <w:p w14:paraId="6644FC0C" w14:textId="77777777" w:rsidR="00E208CC" w:rsidRPr="008C6E2E" w:rsidRDefault="00E208CC" w:rsidP="00E208CC">
            <w:pPr>
              <w:pStyle w:val="ListParagraph"/>
              <w:numPr>
                <w:ilvl w:val="0"/>
                <w:numId w:val="17"/>
              </w:numPr>
              <w:spacing w:line="276" w:lineRule="auto"/>
              <w:contextualSpacing w:val="0"/>
            </w:pPr>
            <w:r>
              <w:t>Decide whether intervention work with small groups within a lesson is more effective than planning different lessons for different groups of pupils.</w:t>
            </w:r>
          </w:p>
          <w:p w14:paraId="3437E904" w14:textId="72BAD319" w:rsidR="0066365A" w:rsidRPr="004B2F27" w:rsidRDefault="00E208CC" w:rsidP="00FA752A">
            <w:pPr>
              <w:pStyle w:val="ListParagraph"/>
              <w:numPr>
                <w:ilvl w:val="0"/>
                <w:numId w:val="17"/>
              </w:numPr>
              <w:spacing w:line="276" w:lineRule="auto"/>
              <w:contextualSpacing w:val="0"/>
            </w:pPr>
            <w:r>
              <w:t>Reframe questions to provide greater scaffolding or greater challenge.</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6B7AB29" w14:textId="56370603"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4F553813" w:rsidR="0066365A" w:rsidRDefault="00FA752A" w:rsidP="0066365A">
            <w:pPr>
              <w:rPr>
                <w:rFonts w:ascii="Cambria" w:hAnsi="Cambria"/>
                <w:sz w:val="20"/>
                <w:szCs w:val="20"/>
              </w:rPr>
            </w:pPr>
            <w:r>
              <w:rPr>
                <w:rFonts w:ascii="Cambria" w:hAnsi="Cambria"/>
                <w:sz w:val="20"/>
                <w:szCs w:val="20"/>
              </w:rPr>
              <w:t>Y/N</w:t>
            </w: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3C8ED73" w14:textId="77777777" w:rsidR="00E208CC" w:rsidRPr="008C6E2E" w:rsidRDefault="00E208CC" w:rsidP="00E208CC">
            <w:pPr>
              <w:pStyle w:val="TableParagraph"/>
            </w:pPr>
            <w:r w:rsidRPr="008C6E2E">
              <w:t>How successful are you at making use of specialist support (such as TAs) in your lessons? How could this be developed?</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5AFC6D05" w14:textId="77777777" w:rsidR="00E208CC" w:rsidRPr="008C6E2E" w:rsidRDefault="00E208CC" w:rsidP="00E208CC">
            <w:pPr>
              <w:pStyle w:val="TableParagraph"/>
            </w:pPr>
            <w:r w:rsidRPr="008C6E2E">
              <w:t>Critically reflect on your use of modelling and scaffolding.</w:t>
            </w:r>
          </w:p>
          <w:p w14:paraId="70BF6B4D" w14:textId="2824B57D" w:rsidR="00FA752A" w:rsidRPr="008C6E2E" w:rsidRDefault="00FA752A" w:rsidP="00FA752A">
            <w:pPr>
              <w:pStyle w:val="TableParagraph"/>
            </w:pP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11852BB5" w14:textId="7ED100FD" w:rsidR="00772E46" w:rsidRPr="00CF5F64" w:rsidRDefault="00E208CC" w:rsidP="00E208CC">
            <w:pPr>
              <w:pStyle w:val="TableParagraph"/>
              <w:rPr>
                <w:rFonts w:ascii="Cambria" w:hAnsi="Cambria"/>
                <w:b/>
                <w:bCs/>
                <w:sz w:val="20"/>
                <w:szCs w:val="20"/>
              </w:rPr>
            </w:pPr>
            <w:r w:rsidRPr="008C6E2E">
              <w:t xml:space="preserve">What knowledge and understanding of teaching pupils for whom </w:t>
            </w:r>
            <w:r>
              <w:t>English</w:t>
            </w:r>
            <w:r w:rsidRPr="008C6E2E">
              <w:t xml:space="preserve"> is an additional language have you gained through your academic reading? How does this relate to your current practice and/or setting?</w:t>
            </w: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C91033"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C91033"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C91033"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625E"/>
    <w:multiLevelType w:val="hybridMultilevel"/>
    <w:tmpl w:val="7D50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5669BA"/>
    <w:multiLevelType w:val="hybridMultilevel"/>
    <w:tmpl w:val="DB4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0"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3"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8"/>
  </w:num>
  <w:num w:numId="2" w16cid:durableId="745959156">
    <w:abstractNumId w:val="9"/>
  </w:num>
  <w:num w:numId="3" w16cid:durableId="365060952">
    <w:abstractNumId w:val="4"/>
  </w:num>
  <w:num w:numId="4" w16cid:durableId="970749666">
    <w:abstractNumId w:val="1"/>
  </w:num>
  <w:num w:numId="5" w16cid:durableId="375013857">
    <w:abstractNumId w:val="22"/>
  </w:num>
  <w:num w:numId="6" w16cid:durableId="995718178">
    <w:abstractNumId w:val="24"/>
  </w:num>
  <w:num w:numId="7" w16cid:durableId="208495139">
    <w:abstractNumId w:val="16"/>
  </w:num>
  <w:num w:numId="8" w16cid:durableId="681662471">
    <w:abstractNumId w:val="21"/>
  </w:num>
  <w:num w:numId="9" w16cid:durableId="769281397">
    <w:abstractNumId w:val="13"/>
  </w:num>
  <w:num w:numId="10" w16cid:durableId="1403983886">
    <w:abstractNumId w:val="23"/>
  </w:num>
  <w:num w:numId="11" w16cid:durableId="1087381121">
    <w:abstractNumId w:val="2"/>
  </w:num>
  <w:num w:numId="12" w16cid:durableId="129786804">
    <w:abstractNumId w:val="3"/>
  </w:num>
  <w:num w:numId="13" w16cid:durableId="1645425847">
    <w:abstractNumId w:val="0"/>
  </w:num>
  <w:num w:numId="14" w16cid:durableId="600911606">
    <w:abstractNumId w:val="19"/>
  </w:num>
  <w:num w:numId="15" w16cid:durableId="1593857607">
    <w:abstractNumId w:val="8"/>
  </w:num>
  <w:num w:numId="16" w16cid:durableId="1642465962">
    <w:abstractNumId w:val="11"/>
  </w:num>
  <w:num w:numId="17" w16cid:durableId="1424767617">
    <w:abstractNumId w:val="6"/>
  </w:num>
  <w:num w:numId="18" w16cid:durableId="976228493">
    <w:abstractNumId w:val="5"/>
  </w:num>
  <w:num w:numId="19" w16cid:durableId="95366447">
    <w:abstractNumId w:val="20"/>
  </w:num>
  <w:num w:numId="20" w16cid:durableId="583690657">
    <w:abstractNumId w:val="15"/>
  </w:num>
  <w:num w:numId="21" w16cid:durableId="1839032955">
    <w:abstractNumId w:val="7"/>
  </w:num>
  <w:num w:numId="22" w16cid:durableId="44185074">
    <w:abstractNumId w:val="12"/>
  </w:num>
  <w:num w:numId="23" w16cid:durableId="2096630338">
    <w:abstractNumId w:val="14"/>
  </w:num>
  <w:num w:numId="24" w16cid:durableId="1692804914">
    <w:abstractNumId w:val="17"/>
  </w:num>
  <w:num w:numId="25" w16cid:durableId="16061885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1033"/>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08CC"/>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ra.ioe.ac.uk/13807/1/religiouseducationre.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enividiteachy.wordpress.com/2022/02/02/re-turn-to-send-er/"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5226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Paul Smalley</cp:lastModifiedBy>
  <cp:revision>2</cp:revision>
  <cp:lastPrinted>2023-05-18T14:08:00Z</cp:lastPrinted>
  <dcterms:created xsi:type="dcterms:W3CDTF">2024-03-08T09:47:00Z</dcterms:created>
  <dcterms:modified xsi:type="dcterms:W3CDTF">2024-03-08T09:47:00Z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