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3A7A3C5"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245F90">
              <w:rPr>
                <w:rFonts w:ascii="Cambria" w:eastAsia="Georgia" w:hAnsi="Cambria" w:cs="Georgia"/>
                <w:b/>
                <w:color w:val="FFFFFF" w:themeColor="background1"/>
                <w:sz w:val="20"/>
                <w:szCs w:val="20"/>
              </w:rPr>
              <w:t>30</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60EAD3" w14:textId="252EC200" w:rsidR="00A163EA" w:rsidRPr="00523D39" w:rsidRDefault="00A163EA" w:rsidP="00A163EA">
            <w:pPr>
              <w:rPr>
                <w:rFonts w:ascii="Cambria" w:hAnsi="Cambria"/>
                <w:b/>
                <w:bCs/>
                <w:sz w:val="20"/>
                <w:szCs w:val="20"/>
              </w:rPr>
            </w:pPr>
            <w:r>
              <w:rPr>
                <w:rFonts w:ascii="Cambria" w:hAnsi="Cambria"/>
                <w:b/>
                <w:bCs/>
                <w:sz w:val="20"/>
                <w:szCs w:val="20"/>
              </w:rPr>
              <w:t xml:space="preserve">                                                                              </w:t>
            </w:r>
            <w:r w:rsidRPr="00523D39">
              <w:rPr>
                <w:rFonts w:ascii="Cambria" w:hAnsi="Cambria"/>
                <w:b/>
                <w:bCs/>
                <w:sz w:val="20"/>
                <w:szCs w:val="20"/>
              </w:rPr>
              <w:t xml:space="preserve">Course: </w:t>
            </w:r>
            <w:r>
              <w:rPr>
                <w:rFonts w:ascii="Cambria" w:hAnsi="Cambria"/>
                <w:b/>
                <w:bCs/>
                <w:sz w:val="20"/>
                <w:szCs w:val="20"/>
              </w:rPr>
              <w:t>BA (Hons) Secondary RE with QTS</w:t>
            </w:r>
          </w:p>
          <w:p w14:paraId="69F14CE3" w14:textId="1F683F3D" w:rsidR="00AE0D6F" w:rsidRPr="00523D39" w:rsidRDefault="00EE1D6A" w:rsidP="00A163EA">
            <w:pPr>
              <w:rPr>
                <w:rFonts w:ascii="Cambria" w:hAnsi="Cambria"/>
                <w:b/>
                <w:bCs/>
                <w:sz w:val="20"/>
                <w:szCs w:val="20"/>
              </w:rPr>
            </w:pPr>
            <w:r w:rsidRPr="00523D39">
              <w:rPr>
                <w:rFonts w:ascii="Cambria" w:hAnsi="Cambria"/>
                <w:b/>
                <w:bCs/>
                <w:sz w:val="20"/>
                <w:szCs w:val="20"/>
              </w:rPr>
              <w:t xml:space="preserve"> </w:t>
            </w:r>
            <w:r w:rsidR="00A163EA">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3958E9FA" w:rsidR="004009A7" w:rsidRPr="00523D39" w:rsidRDefault="002708EC">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A52D7EC" w:rsidR="004009A7" w:rsidRPr="00D21504" w:rsidRDefault="007F4E74">
            <w:pPr>
              <w:jc w:val="both"/>
              <w:rPr>
                <w:rFonts w:ascii="Cambria" w:hAnsi="Cambria"/>
                <w:b/>
                <w:bCs/>
                <w:sz w:val="18"/>
                <w:szCs w:val="18"/>
              </w:rPr>
            </w:pPr>
            <w:r>
              <w:rPr>
                <w:rFonts w:ascii="Cambria" w:hAnsi="Cambria"/>
                <w:b/>
                <w:bCs/>
                <w:sz w:val="18"/>
                <w:szCs w:val="18"/>
              </w:rPr>
              <w:t>Secondary UG RE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6E6103F3" w:rsidR="004009A7" w:rsidRPr="00523D39" w:rsidRDefault="00E208CC">
            <w:pPr>
              <w:jc w:val="both"/>
              <w:rPr>
                <w:rFonts w:ascii="Cambria" w:hAnsi="Cambria"/>
                <w:b/>
                <w:bCs/>
                <w:sz w:val="20"/>
                <w:szCs w:val="20"/>
              </w:rPr>
            </w:pPr>
            <w:r w:rsidRPr="00E208CC">
              <w:rPr>
                <w:rFonts w:ascii="Cambria" w:hAnsi="Cambria"/>
                <w:b/>
                <w:bCs/>
                <w:sz w:val="20"/>
                <w:szCs w:val="20"/>
              </w:rPr>
              <w:t>1</w:t>
            </w:r>
            <w:r w:rsidR="00245F90">
              <w:rPr>
                <w:rFonts w:ascii="Cambria" w:hAnsi="Cambria"/>
                <w:b/>
                <w:bCs/>
                <w:sz w:val="20"/>
                <w:szCs w:val="20"/>
              </w:rPr>
              <w:t>8</w:t>
            </w:r>
            <w:r w:rsidR="006E4CBC" w:rsidRPr="006E4CBC">
              <w:rPr>
                <w:rFonts w:ascii="Cambria" w:hAnsi="Cambria"/>
                <w:b/>
                <w:bCs/>
                <w:sz w:val="20"/>
                <w:szCs w:val="20"/>
                <w:vertAlign w:val="superscript"/>
              </w:rPr>
              <w:t>th</w:t>
            </w:r>
            <w:r w:rsidR="006E4CBC">
              <w:rPr>
                <w:rFonts w:ascii="Cambria" w:hAnsi="Cambria"/>
                <w:b/>
                <w:bCs/>
                <w:sz w:val="20"/>
                <w:szCs w:val="20"/>
              </w:rPr>
              <w:t xml:space="preserve"> </w:t>
            </w:r>
            <w:r w:rsidR="00AF0270">
              <w:rPr>
                <w:rFonts w:ascii="Cambria" w:hAnsi="Cambria"/>
                <w:b/>
                <w:bCs/>
                <w:sz w:val="20"/>
                <w:szCs w:val="20"/>
              </w:rPr>
              <w:t>March</w:t>
            </w:r>
            <w:r w:rsidR="006E4CBC">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4C18501" w14:textId="77777777" w:rsidR="00245F90" w:rsidRPr="0062003B" w:rsidRDefault="00245F90" w:rsidP="00245F90">
            <w:pPr>
              <w:pStyle w:val="NoSpacing"/>
              <w:rPr>
                <w:rFonts w:asciiTheme="minorHAnsi" w:hAnsiTheme="minorHAnsi" w:cstheme="minorHAnsi"/>
                <w:b/>
                <w:bCs/>
                <w:sz w:val="22"/>
              </w:rPr>
            </w:pPr>
            <w:r w:rsidRPr="0062003B">
              <w:rPr>
                <w:rFonts w:asciiTheme="minorHAnsi" w:hAnsiTheme="minorHAnsi" w:cstheme="minorHAnsi"/>
                <w:b/>
                <w:bCs/>
                <w:sz w:val="22"/>
              </w:rPr>
              <w:t>Summary</w:t>
            </w:r>
          </w:p>
          <w:p w14:paraId="1F1852C7" w14:textId="77777777" w:rsidR="00245F90" w:rsidRPr="004C7E61" w:rsidRDefault="00245F90" w:rsidP="00245F90">
            <w:pPr>
              <w:pStyle w:val="NoSpacing"/>
              <w:rPr>
                <w:rFonts w:asciiTheme="minorHAnsi" w:hAnsiTheme="minorHAnsi" w:cstheme="minorHAnsi"/>
                <w:szCs w:val="24"/>
              </w:rPr>
            </w:pPr>
            <w:r w:rsidRPr="004C7E61">
              <w:rPr>
                <w:rFonts w:asciiTheme="minorHAnsi" w:hAnsiTheme="minorHAnsi" w:cstheme="minorHAnsi"/>
                <w:szCs w:val="24"/>
              </w:rPr>
              <w:t>The focus of the reading is how teachers’ working conditions or school context variables (job demands and job resources) are related to their teaching self-concept, teacher burnout, job satisfaction, and motivation to leave the teaching profession.</w:t>
            </w:r>
          </w:p>
          <w:p w14:paraId="032C66DA" w14:textId="77777777" w:rsidR="00245F90" w:rsidRPr="004C7E61" w:rsidRDefault="00245F90" w:rsidP="00245F90">
            <w:pPr>
              <w:pStyle w:val="NoSpacing"/>
              <w:rPr>
                <w:rFonts w:asciiTheme="minorHAnsi" w:hAnsiTheme="minorHAnsi" w:cstheme="minorHAnsi"/>
                <w:szCs w:val="24"/>
              </w:rPr>
            </w:pPr>
            <w:r w:rsidRPr="004C7E61">
              <w:rPr>
                <w:rFonts w:asciiTheme="minorHAnsi" w:hAnsiTheme="minorHAnsi" w:cstheme="minorHAnsi"/>
                <w:szCs w:val="24"/>
              </w:rPr>
              <w:t>The reading states that even though most teachers perceive teaching as a highly rewarding occupation in many cultures, many teachers experience severe stress and symptoms of burnout.</w:t>
            </w:r>
          </w:p>
          <w:p w14:paraId="59726268" w14:textId="77777777" w:rsidR="00245F90" w:rsidRPr="004C7E61" w:rsidRDefault="00245F90" w:rsidP="00245F90">
            <w:pPr>
              <w:pStyle w:val="NoSpacing"/>
              <w:rPr>
                <w:rFonts w:asciiTheme="minorHAnsi" w:hAnsiTheme="minorHAnsi" w:cstheme="minorHAnsi"/>
                <w:szCs w:val="24"/>
              </w:rPr>
            </w:pPr>
            <w:r w:rsidRPr="004C7E61">
              <w:rPr>
                <w:rFonts w:asciiTheme="minorHAnsi" w:hAnsiTheme="minorHAnsi" w:cstheme="minorHAnsi"/>
                <w:szCs w:val="24"/>
              </w:rPr>
              <w:t>The reading suggests that attention should be given to both teacher stress and teacher job satisfaction because they may have serious negative or positive consequences, respectively, both for the teachers’ wellbeing and for the quality of education.</w:t>
            </w:r>
          </w:p>
          <w:p w14:paraId="143605E1" w14:textId="77777777" w:rsidR="00245F90" w:rsidRPr="004C7E61" w:rsidRDefault="00245F90" w:rsidP="00245F90">
            <w:pPr>
              <w:pStyle w:val="NoSpacing"/>
              <w:rPr>
                <w:rFonts w:asciiTheme="minorHAnsi" w:hAnsiTheme="minorHAnsi" w:cstheme="minorHAnsi"/>
                <w:szCs w:val="24"/>
              </w:rPr>
            </w:pPr>
            <w:r w:rsidRPr="004C7E61">
              <w:rPr>
                <w:rFonts w:asciiTheme="minorHAnsi" w:hAnsiTheme="minorHAnsi" w:cstheme="minorHAnsi"/>
                <w:szCs w:val="24"/>
              </w:rPr>
              <w:t>Possible consequences of teacher stress are reduced teacher self-efficacy, lower job satisfaction, lower levels of commitment, higher levels of burnout, and increased teacher attrition, whereas job satisfaction is predictive of lower levels of absenteeism and attrition.</w:t>
            </w:r>
          </w:p>
          <w:p w14:paraId="778C47E6" w14:textId="77777777" w:rsidR="00245F90" w:rsidRPr="0062003B" w:rsidRDefault="00245F90" w:rsidP="00245F90">
            <w:pPr>
              <w:pStyle w:val="NoSpacing"/>
              <w:rPr>
                <w:rFonts w:asciiTheme="minorHAnsi" w:hAnsiTheme="minorHAnsi" w:cstheme="minorHAnsi"/>
                <w:sz w:val="22"/>
              </w:rPr>
            </w:pPr>
          </w:p>
          <w:p w14:paraId="5BAF477A" w14:textId="77777777" w:rsidR="00245F90" w:rsidRPr="0062003B" w:rsidRDefault="00245F90" w:rsidP="00245F90">
            <w:pPr>
              <w:pStyle w:val="NoSpacing"/>
              <w:rPr>
                <w:rFonts w:asciiTheme="minorHAnsi" w:hAnsiTheme="minorHAnsi" w:cstheme="minorHAnsi"/>
                <w:b/>
                <w:bCs/>
                <w:sz w:val="22"/>
              </w:rPr>
            </w:pPr>
            <w:r w:rsidRPr="0062003B">
              <w:rPr>
                <w:rFonts w:asciiTheme="minorHAnsi" w:hAnsiTheme="minorHAnsi" w:cstheme="minorHAnsi"/>
                <w:b/>
                <w:bCs/>
                <w:sz w:val="22"/>
              </w:rPr>
              <w:t>Limitations</w:t>
            </w:r>
          </w:p>
          <w:p w14:paraId="6E55F626" w14:textId="77777777" w:rsidR="00245F90" w:rsidRPr="004C7E61" w:rsidRDefault="00245F90" w:rsidP="00245F90">
            <w:pPr>
              <w:pStyle w:val="NoSpacing"/>
              <w:rPr>
                <w:rFonts w:asciiTheme="minorHAnsi" w:hAnsiTheme="minorHAnsi" w:cstheme="minorHAnsi"/>
                <w:szCs w:val="24"/>
              </w:rPr>
            </w:pPr>
            <w:r w:rsidRPr="004C7E61">
              <w:rPr>
                <w:rFonts w:asciiTheme="minorHAnsi" w:hAnsiTheme="minorHAnsi" w:cstheme="minorHAnsi"/>
                <w:szCs w:val="24"/>
              </w:rPr>
              <w:t xml:space="preserve">This study is </w:t>
            </w:r>
            <w:proofErr w:type="gramStart"/>
            <w:r w:rsidRPr="004C7E61">
              <w:rPr>
                <w:rFonts w:asciiTheme="minorHAnsi" w:hAnsiTheme="minorHAnsi" w:cstheme="minorHAnsi"/>
                <w:szCs w:val="24"/>
              </w:rPr>
              <w:t>cross-sectional</w:t>
            </w:r>
            <w:proofErr w:type="gramEnd"/>
            <w:r w:rsidRPr="004C7E61">
              <w:rPr>
                <w:rFonts w:asciiTheme="minorHAnsi" w:hAnsiTheme="minorHAnsi" w:cstheme="minorHAnsi"/>
                <w:szCs w:val="24"/>
              </w:rPr>
              <w:t xml:space="preserve"> and readers are advised not to draw firm conclusions about casual relations.</w:t>
            </w:r>
          </w:p>
          <w:p w14:paraId="72D1000B" w14:textId="77777777" w:rsidR="00245F90" w:rsidRPr="0062003B" w:rsidRDefault="00245F90" w:rsidP="00245F90">
            <w:pPr>
              <w:pStyle w:val="NoSpacing"/>
              <w:rPr>
                <w:rFonts w:asciiTheme="minorHAnsi" w:hAnsiTheme="minorHAnsi" w:cstheme="minorHAnsi"/>
                <w:sz w:val="22"/>
              </w:rPr>
            </w:pPr>
          </w:p>
          <w:p w14:paraId="56FBAA18" w14:textId="77777777" w:rsidR="00245F90" w:rsidRDefault="00245F90" w:rsidP="00245F90">
            <w:pPr>
              <w:pStyle w:val="NoSpacing"/>
              <w:rPr>
                <w:rFonts w:asciiTheme="minorHAnsi" w:hAnsiTheme="minorHAnsi" w:cstheme="minorHAnsi"/>
                <w:b/>
                <w:bCs/>
                <w:sz w:val="22"/>
              </w:rPr>
            </w:pPr>
            <w:r w:rsidRPr="0062003B">
              <w:rPr>
                <w:rFonts w:asciiTheme="minorHAnsi" w:hAnsiTheme="minorHAnsi" w:cstheme="minorHAnsi"/>
                <w:b/>
                <w:bCs/>
                <w:sz w:val="22"/>
              </w:rPr>
              <w:t>Reference</w:t>
            </w:r>
          </w:p>
          <w:p w14:paraId="6071F449" w14:textId="0FB93D8D" w:rsidR="0066365A" w:rsidRPr="006E4CBC" w:rsidRDefault="00245F90" w:rsidP="00245F90">
            <w:pPr>
              <w:rPr>
                <w:rFonts w:asciiTheme="minorHAnsi" w:hAnsiTheme="minorHAnsi" w:cstheme="minorHAnsi"/>
                <w:sz w:val="18"/>
                <w:szCs w:val="18"/>
              </w:rPr>
            </w:pPr>
            <w:proofErr w:type="spellStart"/>
            <w:r w:rsidRPr="005F106E">
              <w:rPr>
                <w:rFonts w:asciiTheme="minorHAnsi" w:hAnsiTheme="minorHAnsi" w:cstheme="minorHAnsi"/>
                <w:sz w:val="20"/>
                <w:szCs w:val="18"/>
              </w:rPr>
              <w:t>Skaalvik</w:t>
            </w:r>
            <w:proofErr w:type="spellEnd"/>
            <w:r w:rsidRPr="005F106E">
              <w:rPr>
                <w:rFonts w:asciiTheme="minorHAnsi" w:hAnsiTheme="minorHAnsi" w:cstheme="minorHAnsi"/>
                <w:sz w:val="20"/>
                <w:szCs w:val="18"/>
              </w:rPr>
              <w:t xml:space="preserve">, E. M., &amp; </w:t>
            </w:r>
            <w:proofErr w:type="spellStart"/>
            <w:r w:rsidRPr="005F106E">
              <w:rPr>
                <w:rFonts w:asciiTheme="minorHAnsi" w:hAnsiTheme="minorHAnsi" w:cstheme="minorHAnsi"/>
                <w:sz w:val="20"/>
                <w:szCs w:val="18"/>
              </w:rPr>
              <w:t>Skaalvik</w:t>
            </w:r>
            <w:proofErr w:type="spellEnd"/>
            <w:r w:rsidRPr="005F106E">
              <w:rPr>
                <w:rFonts w:asciiTheme="minorHAnsi" w:hAnsiTheme="minorHAnsi" w:cstheme="minorHAnsi"/>
                <w:sz w:val="20"/>
                <w:szCs w:val="18"/>
              </w:rPr>
              <w:t xml:space="preserve">, S. (2017) Still motivated to teach? A study of school context variables, </w:t>
            </w:r>
            <w:proofErr w:type="gramStart"/>
            <w:r w:rsidRPr="005F106E">
              <w:rPr>
                <w:rFonts w:asciiTheme="minorHAnsi" w:hAnsiTheme="minorHAnsi" w:cstheme="minorHAnsi"/>
                <w:sz w:val="20"/>
                <w:szCs w:val="18"/>
              </w:rPr>
              <w:t>stress</w:t>
            </w:r>
            <w:proofErr w:type="gramEnd"/>
            <w:r w:rsidRPr="005F106E">
              <w:rPr>
                <w:rFonts w:asciiTheme="minorHAnsi" w:hAnsiTheme="minorHAnsi" w:cstheme="minorHAnsi"/>
                <w:sz w:val="20"/>
                <w:szCs w:val="18"/>
              </w:rPr>
              <w:t xml:space="preserve"> and job satisfaction among teachers in senior high school. Social Psychology of Education, 20(1), 15–37. https://doi.org/10.1007/s11218-016-9363-9.</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C495AB" w14:textId="16E67BE1" w:rsidR="00A71F35" w:rsidRDefault="00DB73A5" w:rsidP="00A45230">
            <w:pPr>
              <w:pStyle w:val="paragraph"/>
              <w:shd w:val="clear" w:color="auto" w:fill="FFFFFF"/>
              <w:spacing w:before="0" w:beforeAutospacing="0" w:after="0" w:afterAutospacing="0"/>
              <w:textAlignment w:val="baseline"/>
              <w:rPr>
                <w:rFonts w:ascii="Cambria" w:hAnsi="Cambria" w:cstheme="minorHAnsi"/>
                <w:sz w:val="20"/>
                <w:szCs w:val="20"/>
              </w:rPr>
            </w:pPr>
            <w:r w:rsidRPr="00B138CA">
              <w:rPr>
                <w:rFonts w:ascii="Tw Cen MT" w:hAnsi="Tw Cen MT" w:cs="Calibri"/>
                <w:color w:val="201F1E"/>
              </w:rPr>
              <w:t xml:space="preserve">Your trainee should be familiar with Daisy Christodoulou – this blog </w:t>
            </w:r>
            <w:hyperlink r:id="rId12" w:history="1">
              <w:r w:rsidRPr="00B138CA">
                <w:rPr>
                  <w:rStyle w:val="Hyperlink"/>
                  <w:rFonts w:ascii="Tw Cen MT" w:hAnsi="Tw Cen MT"/>
                </w:rPr>
                <w:t xml:space="preserve">The marathon of assessment | </w:t>
              </w:r>
              <w:proofErr w:type="spellStart"/>
              <w:r w:rsidRPr="00B138CA">
                <w:rPr>
                  <w:rStyle w:val="Hyperlink"/>
                  <w:rFonts w:ascii="Tw Cen MT" w:hAnsi="Tw Cen MT"/>
                </w:rPr>
                <w:t>missdcoxblog</w:t>
              </w:r>
              <w:proofErr w:type="spellEnd"/>
              <w:r w:rsidRPr="00B138CA">
                <w:rPr>
                  <w:rStyle w:val="Hyperlink"/>
                  <w:rFonts w:ascii="Tw Cen MT" w:hAnsi="Tw Cen MT"/>
                </w:rPr>
                <w:t xml:space="preserve"> (wordpress.com)</w:t>
              </w:r>
            </w:hyperlink>
            <w:r w:rsidRPr="00B138CA">
              <w:rPr>
                <w:rFonts w:ascii="Tw Cen MT" w:hAnsi="Tw Cen MT"/>
              </w:rPr>
              <w:t xml:space="preserve"> from Dawn Cox thinks about applying some of Daisy’s ideas to RE.</w:t>
            </w:r>
          </w:p>
          <w:p w14:paraId="02295E43" w14:textId="048234A1"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18B53A20" w14:textId="77777777" w:rsidR="00245F90" w:rsidRPr="008C6E2E" w:rsidRDefault="00245F90" w:rsidP="00245F90">
            <w:pPr>
              <w:pStyle w:val="ListParagraph"/>
              <w:numPr>
                <w:ilvl w:val="0"/>
                <w:numId w:val="17"/>
              </w:numPr>
              <w:spacing w:line="276" w:lineRule="auto"/>
              <w:contextualSpacing w:val="0"/>
            </w:pPr>
            <w:r>
              <w:t>To be of value, teachers use information from assessments in RE to inform the decisions they make; in turn, pupils must be able to act on feedback for it to have an effect.</w:t>
            </w:r>
          </w:p>
          <w:p w14:paraId="4E488AE5" w14:textId="7B839D03" w:rsidR="00CB44DE" w:rsidRPr="006E4CBC" w:rsidRDefault="00245F90" w:rsidP="00245F90">
            <w:pPr>
              <w:pStyle w:val="ListParagraph"/>
              <w:numPr>
                <w:ilvl w:val="0"/>
                <w:numId w:val="17"/>
              </w:numPr>
              <w:spacing w:line="276" w:lineRule="auto"/>
              <w:contextualSpacing w:val="0"/>
              <w:rPr>
                <w:rFonts w:ascii="Arial" w:hAnsi="Arial" w:cs="Arial"/>
              </w:rPr>
            </w:pPr>
            <w:r>
              <w:t>Marking and assessment are not synonymous: high-quality feedback can be written or verbal.</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479EA95B" w14:textId="670A3570" w:rsidR="00E208CC" w:rsidRDefault="00E208CC" w:rsidP="000F3320">
            <w:pPr>
              <w:rPr>
                <w:rFonts w:ascii="Cambria" w:hAnsi="Cambria"/>
                <w:sz w:val="20"/>
                <w:szCs w:val="20"/>
              </w:rPr>
            </w:pPr>
          </w:p>
          <w:p w14:paraId="2B01F755" w14:textId="573AA9FA" w:rsidR="00C26EC1" w:rsidRDefault="00E208CC" w:rsidP="000F3320">
            <w:pPr>
              <w:rPr>
                <w:rFonts w:ascii="Cambria" w:hAnsi="Cambria"/>
                <w:sz w:val="20"/>
                <w:szCs w:val="20"/>
              </w:rPr>
            </w:pPr>
            <w:r>
              <w:rPr>
                <w:rFonts w:ascii="Cambria" w:hAnsi="Cambria"/>
                <w:sz w:val="20"/>
                <w:szCs w:val="20"/>
              </w:rPr>
              <w:t xml:space="preserve">  </w:t>
            </w:r>
            <w:r w:rsidR="00C26EC1">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57B93F36" w14:textId="77777777" w:rsidR="00E208CC" w:rsidRDefault="000F3320" w:rsidP="006E4CBC">
            <w:pPr>
              <w:rPr>
                <w:rFonts w:ascii="Cambria" w:hAnsi="Cambria"/>
                <w:sz w:val="20"/>
                <w:szCs w:val="20"/>
              </w:rPr>
            </w:pPr>
            <w:r>
              <w:rPr>
                <w:rFonts w:ascii="Cambria" w:hAnsi="Cambria"/>
                <w:sz w:val="20"/>
                <w:szCs w:val="20"/>
              </w:rPr>
              <w:t xml:space="preserve"> </w:t>
            </w:r>
          </w:p>
          <w:p w14:paraId="3427761D" w14:textId="77777777" w:rsidR="00E208CC" w:rsidRDefault="00E208CC" w:rsidP="006E4CBC">
            <w:pPr>
              <w:rPr>
                <w:rFonts w:ascii="Cambria" w:hAnsi="Cambria"/>
                <w:sz w:val="20"/>
                <w:szCs w:val="20"/>
              </w:rPr>
            </w:pPr>
          </w:p>
          <w:p w14:paraId="17248A47" w14:textId="022BD800" w:rsidR="00C26EC1" w:rsidRDefault="00C26EC1" w:rsidP="006E4CBC">
            <w:pPr>
              <w:rPr>
                <w:rFonts w:ascii="Cambria" w:hAnsi="Cambria"/>
                <w:sz w:val="20"/>
                <w:szCs w:val="20"/>
              </w:rPr>
            </w:pP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23081FC" w14:textId="77777777" w:rsidR="00245F90" w:rsidRPr="008C6E2E" w:rsidRDefault="00245F90" w:rsidP="00245F90">
            <w:pPr>
              <w:pStyle w:val="ListParagraph"/>
              <w:numPr>
                <w:ilvl w:val="0"/>
                <w:numId w:val="26"/>
              </w:numPr>
              <w:spacing w:line="276" w:lineRule="auto"/>
              <w:contextualSpacing w:val="0"/>
            </w:pPr>
            <w:r>
              <w:t>Record data only when it is useful for the purpose of improving pupil outcomes.</w:t>
            </w:r>
          </w:p>
          <w:p w14:paraId="09F77778" w14:textId="77777777" w:rsidR="00245F90" w:rsidRDefault="00245F90" w:rsidP="00245F90">
            <w:pPr>
              <w:pStyle w:val="ListParagraph"/>
              <w:numPr>
                <w:ilvl w:val="0"/>
                <w:numId w:val="26"/>
              </w:numPr>
              <w:spacing w:line="276" w:lineRule="auto"/>
              <w:contextualSpacing w:val="0"/>
            </w:pPr>
            <w:r>
              <w:t>Utilise cost marking strategies (e.g., using abbreviations or codes) when providing written feedback, recognising that marking is only one form of feedback.</w:t>
            </w:r>
          </w:p>
          <w:p w14:paraId="75AEDEAD" w14:textId="77777777" w:rsidR="00245F90" w:rsidRPr="008C6E2E" w:rsidRDefault="00245F90" w:rsidP="00245F90">
            <w:pPr>
              <w:pStyle w:val="ListParagraph"/>
              <w:numPr>
                <w:ilvl w:val="0"/>
                <w:numId w:val="26"/>
              </w:numPr>
              <w:spacing w:line="276" w:lineRule="auto"/>
              <w:contextualSpacing w:val="0"/>
            </w:pPr>
            <w:r>
              <w:t>Where possible, use high quality verbal feedback during lessons and written feedback after lessons.</w:t>
            </w:r>
          </w:p>
          <w:p w14:paraId="3437E904" w14:textId="50A199DE" w:rsidR="0066365A" w:rsidRPr="004B2F27" w:rsidRDefault="00245F90" w:rsidP="00245F90">
            <w:pPr>
              <w:pStyle w:val="ListParagraph"/>
              <w:numPr>
                <w:ilvl w:val="0"/>
                <w:numId w:val="17"/>
              </w:numPr>
              <w:spacing w:line="276" w:lineRule="auto"/>
              <w:contextualSpacing w:val="0"/>
            </w:pPr>
            <w:r>
              <w:t>Identify effective approaches to marking and alternative approaches to providing feedback.</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53EF66AC" w14:textId="3DC14C9D"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69FBA90A" w14:textId="77777777" w:rsidR="00245F90" w:rsidRDefault="00245F90" w:rsidP="0066365A">
            <w:pPr>
              <w:rPr>
                <w:rFonts w:ascii="Cambria" w:hAnsi="Cambria"/>
                <w:sz w:val="20"/>
                <w:szCs w:val="20"/>
              </w:rPr>
            </w:pPr>
          </w:p>
          <w:p w14:paraId="76B7AB29" w14:textId="3BA50A5D"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4147A956" w14:textId="60703AF7" w:rsidR="0066365A" w:rsidRDefault="0066365A" w:rsidP="0066365A">
            <w:pPr>
              <w:rPr>
                <w:rFonts w:ascii="Cambria" w:hAnsi="Cambria"/>
                <w:sz w:val="20"/>
                <w:szCs w:val="20"/>
              </w:rPr>
            </w:pPr>
          </w:p>
          <w:p w14:paraId="369760E3" w14:textId="52DFB5D6" w:rsidR="0066365A" w:rsidRDefault="0066365A" w:rsidP="0066365A">
            <w:pPr>
              <w:rPr>
                <w:rFonts w:ascii="Cambria" w:hAnsi="Cambria"/>
                <w:sz w:val="20"/>
                <w:szCs w:val="20"/>
              </w:rPr>
            </w:pPr>
          </w:p>
          <w:p w14:paraId="5FF312F8" w14:textId="243D907A" w:rsidR="0066365A" w:rsidRPr="00C26EC1" w:rsidRDefault="00245F90"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447237D1" w14:textId="260869BF" w:rsidR="00245F90" w:rsidRPr="008C6E2E" w:rsidRDefault="00245F90" w:rsidP="00245F90">
            <w:pPr>
              <w:pStyle w:val="TableParagraph"/>
            </w:pPr>
            <w:r w:rsidRPr="008C6E2E">
              <w:t xml:space="preserve">How well are you balancing the demands of assessment procedures? </w:t>
            </w:r>
          </w:p>
          <w:p w14:paraId="5C4ADFF2" w14:textId="77777777" w:rsidR="00245F90" w:rsidRDefault="00245F90" w:rsidP="0066365A">
            <w:pPr>
              <w:pBdr>
                <w:top w:val="nil"/>
                <w:left w:val="nil"/>
                <w:bottom w:val="nil"/>
                <w:right w:val="nil"/>
                <w:between w:val="nil"/>
              </w:pBdr>
              <w:jc w:val="both"/>
              <w:rPr>
                <w:rFonts w:ascii="Cambria" w:hAnsi="Cambria"/>
                <w:b/>
                <w:bCs/>
                <w:sz w:val="20"/>
                <w:szCs w:val="20"/>
              </w:rPr>
            </w:pPr>
          </w:p>
          <w:p w14:paraId="2FCBDA67" w14:textId="4B88DB1E"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2BCD7A56" w14:textId="77777777" w:rsidR="00245F90" w:rsidRPr="008C6E2E" w:rsidRDefault="00245F90" w:rsidP="00245F90">
            <w:pPr>
              <w:pStyle w:val="TableParagraph"/>
            </w:pPr>
            <w:r w:rsidRPr="008C6E2E">
              <w:t>Have you identified any practice which is highly effective and not onerous?</w:t>
            </w:r>
          </w:p>
          <w:p w14:paraId="5AFC6D05" w14:textId="58C90FDC" w:rsidR="00E208CC" w:rsidRPr="008C6E2E" w:rsidRDefault="00E208CC" w:rsidP="00E208CC">
            <w:pPr>
              <w:pStyle w:val="TableParagraph"/>
            </w:pPr>
          </w:p>
          <w:p w14:paraId="05871C0D" w14:textId="7C8CE985" w:rsidR="00A9736C" w:rsidRPr="00A9736C" w:rsidRDefault="00A9736C" w:rsidP="00A9736C">
            <w:pPr>
              <w:pStyle w:val="TableParagraph"/>
              <w:rPr>
                <w:rFonts w:asciiTheme="minorHAnsi" w:hAnsiTheme="minorHAnsi" w:cstheme="minorHAnsi"/>
                <w:i w:val="0"/>
                <w:iCs w:val="0"/>
              </w:rPr>
            </w:pPr>
          </w:p>
          <w:p w14:paraId="23C511ED" w14:textId="6751C4FC" w:rsidR="00245F90" w:rsidRPr="00245F90" w:rsidRDefault="006E4CBC" w:rsidP="00245F90">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6940915" w14:textId="77777777" w:rsidR="00245F90" w:rsidRDefault="00245F90" w:rsidP="00245F90">
            <w:pPr>
              <w:pStyle w:val="TableParagraph"/>
            </w:pPr>
          </w:p>
          <w:p w14:paraId="755A428D" w14:textId="3E621333" w:rsidR="00245F90" w:rsidRPr="00245F90" w:rsidRDefault="00245F90" w:rsidP="00245F90">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p>
          <w:p w14:paraId="62198398" w14:textId="53875747" w:rsidR="00245F90" w:rsidRPr="008C6E2E" w:rsidRDefault="00245F90" w:rsidP="00245F90">
            <w:pPr>
              <w:pStyle w:val="TableParagraph"/>
            </w:pPr>
            <w:r w:rsidRPr="008C6E2E">
              <w:t>Have you (e</w:t>
            </w:r>
            <w:r>
              <w:t>i</w:t>
            </w:r>
            <w:r w:rsidRPr="008C6E2E">
              <w:t>ther in observations or your own lessons) identified any effective practice with regards verbal feedback? What was it? What impact did it have?</w:t>
            </w:r>
          </w:p>
          <w:p w14:paraId="637C382B" w14:textId="77777777" w:rsidR="00245F90" w:rsidRPr="00A9736C" w:rsidRDefault="00245F90" w:rsidP="00245F90">
            <w:pPr>
              <w:pStyle w:val="TableParagraph"/>
              <w:rPr>
                <w:rFonts w:asciiTheme="minorHAnsi" w:hAnsiTheme="minorHAnsi" w:cstheme="minorHAnsi"/>
                <w:i w:val="0"/>
                <w:iCs w:val="0"/>
              </w:rPr>
            </w:pPr>
          </w:p>
          <w:p w14:paraId="2F83ADCD" w14:textId="77777777" w:rsidR="00245F90" w:rsidRDefault="00245F90" w:rsidP="00245F90">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69AF65B1" w14:textId="77777777" w:rsidR="00245F90" w:rsidRDefault="00245F90" w:rsidP="00245F90">
            <w:pPr>
              <w:pBdr>
                <w:top w:val="nil"/>
                <w:left w:val="nil"/>
                <w:bottom w:val="nil"/>
                <w:right w:val="nil"/>
                <w:between w:val="nil"/>
              </w:pBdr>
              <w:jc w:val="both"/>
              <w:rPr>
                <w:rFonts w:ascii="Cambria" w:hAnsi="Cambria"/>
                <w:sz w:val="20"/>
                <w:szCs w:val="20"/>
              </w:rPr>
            </w:pPr>
          </w:p>
          <w:p w14:paraId="08DD1770" w14:textId="5C65C63C" w:rsidR="00245F90" w:rsidRPr="00A9736C" w:rsidRDefault="00245F90" w:rsidP="00245F90">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4</w:t>
            </w:r>
            <w:r w:rsidRPr="00523D39">
              <w:rPr>
                <w:rFonts w:ascii="Cambria" w:hAnsi="Cambria"/>
                <w:b/>
                <w:bCs/>
                <w:sz w:val="20"/>
                <w:szCs w:val="20"/>
              </w:rPr>
              <w:t>:</w:t>
            </w:r>
          </w:p>
          <w:p w14:paraId="2E0554F5" w14:textId="77777777" w:rsidR="00245F90" w:rsidRPr="008C6E2E" w:rsidRDefault="00245F90" w:rsidP="00245F90">
            <w:pPr>
              <w:pStyle w:val="TableParagraph"/>
            </w:pPr>
            <w:r w:rsidRPr="008C6E2E">
              <w:t xml:space="preserve">Critically reflect on how your setting collects and </w:t>
            </w:r>
            <w:proofErr w:type="spellStart"/>
            <w:r w:rsidRPr="008C6E2E">
              <w:t>utilises</w:t>
            </w:r>
            <w:proofErr w:type="spellEnd"/>
            <w:r w:rsidRPr="008C6E2E">
              <w:t xml:space="preserve"> assessment data. Does this assist with improving </w:t>
            </w:r>
            <w:r w:rsidRPr="008C6E2E">
              <w:lastRenderedPageBreak/>
              <w:t>pupil outcomes? </w:t>
            </w:r>
          </w:p>
          <w:p w14:paraId="4BB120E1" w14:textId="77777777" w:rsidR="00245F90" w:rsidRPr="008C6E2E" w:rsidRDefault="00245F90" w:rsidP="00245F90">
            <w:pPr>
              <w:pStyle w:val="TableParagraph"/>
            </w:pPr>
          </w:p>
          <w:p w14:paraId="11852BB5" w14:textId="7FE8159F" w:rsidR="00772E46" w:rsidRPr="00CF5F64" w:rsidRDefault="00245F90" w:rsidP="00E208CC">
            <w:pPr>
              <w:pStyle w:val="TableParagraph"/>
              <w:rPr>
                <w:rFonts w:ascii="Cambria" w:hAnsi="Cambria"/>
                <w:b/>
                <w:bCs/>
                <w:sz w:val="20"/>
                <w:szCs w:val="20"/>
              </w:rPr>
            </w:pPr>
            <w:r w:rsidRPr="00523D39">
              <w:rPr>
                <w:rFonts w:ascii="Cambria" w:hAnsi="Cambria"/>
                <w:b/>
                <w:bCs/>
                <w:sz w:val="20"/>
                <w:szCs w:val="20"/>
              </w:rPr>
              <w:t>Mentor summary of trainee response</w:t>
            </w: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DB73A5"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DB73A5"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DB73A5"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F625E"/>
    <w:multiLevelType w:val="hybridMultilevel"/>
    <w:tmpl w:val="F988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5669BA"/>
    <w:multiLevelType w:val="hybridMultilevel"/>
    <w:tmpl w:val="DB44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6"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0"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3" w15:restartNumberingAfterBreak="0">
    <w:nsid w:val="722F5304"/>
    <w:multiLevelType w:val="hybridMultilevel"/>
    <w:tmpl w:val="DD04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8"/>
  </w:num>
  <w:num w:numId="2" w16cid:durableId="745959156">
    <w:abstractNumId w:val="9"/>
  </w:num>
  <w:num w:numId="3" w16cid:durableId="365060952">
    <w:abstractNumId w:val="4"/>
  </w:num>
  <w:num w:numId="4" w16cid:durableId="970749666">
    <w:abstractNumId w:val="1"/>
  </w:num>
  <w:num w:numId="5" w16cid:durableId="375013857">
    <w:abstractNumId w:val="22"/>
  </w:num>
  <w:num w:numId="6" w16cid:durableId="995718178">
    <w:abstractNumId w:val="25"/>
  </w:num>
  <w:num w:numId="7" w16cid:durableId="208495139">
    <w:abstractNumId w:val="16"/>
  </w:num>
  <w:num w:numId="8" w16cid:durableId="681662471">
    <w:abstractNumId w:val="21"/>
  </w:num>
  <w:num w:numId="9" w16cid:durableId="769281397">
    <w:abstractNumId w:val="13"/>
  </w:num>
  <w:num w:numId="10" w16cid:durableId="1403983886">
    <w:abstractNumId w:val="24"/>
  </w:num>
  <w:num w:numId="11" w16cid:durableId="1087381121">
    <w:abstractNumId w:val="2"/>
  </w:num>
  <w:num w:numId="12" w16cid:durableId="129786804">
    <w:abstractNumId w:val="3"/>
  </w:num>
  <w:num w:numId="13" w16cid:durableId="1645425847">
    <w:abstractNumId w:val="0"/>
  </w:num>
  <w:num w:numId="14" w16cid:durableId="600911606">
    <w:abstractNumId w:val="19"/>
  </w:num>
  <w:num w:numId="15" w16cid:durableId="1593857607">
    <w:abstractNumId w:val="8"/>
  </w:num>
  <w:num w:numId="16" w16cid:durableId="1642465962">
    <w:abstractNumId w:val="11"/>
  </w:num>
  <w:num w:numId="17" w16cid:durableId="1424767617">
    <w:abstractNumId w:val="6"/>
  </w:num>
  <w:num w:numId="18" w16cid:durableId="976228493">
    <w:abstractNumId w:val="5"/>
  </w:num>
  <w:num w:numId="19" w16cid:durableId="95366447">
    <w:abstractNumId w:val="20"/>
  </w:num>
  <w:num w:numId="20" w16cid:durableId="583690657">
    <w:abstractNumId w:val="15"/>
  </w:num>
  <w:num w:numId="21" w16cid:durableId="1839032955">
    <w:abstractNumId w:val="7"/>
  </w:num>
  <w:num w:numId="22" w16cid:durableId="44185074">
    <w:abstractNumId w:val="12"/>
  </w:num>
  <w:num w:numId="23" w16cid:durableId="2096630338">
    <w:abstractNumId w:val="14"/>
  </w:num>
  <w:num w:numId="24" w16cid:durableId="1692804914">
    <w:abstractNumId w:val="17"/>
  </w:num>
  <w:num w:numId="25" w16cid:durableId="1606188538">
    <w:abstractNumId w:val="10"/>
  </w:num>
  <w:num w:numId="26" w16cid:durableId="322785648">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19D0"/>
    <w:rsid w:val="000177E9"/>
    <w:rsid w:val="000467DF"/>
    <w:rsid w:val="000A4500"/>
    <w:rsid w:val="000C0420"/>
    <w:rsid w:val="000D2747"/>
    <w:rsid w:val="000D5631"/>
    <w:rsid w:val="000D6922"/>
    <w:rsid w:val="000F3320"/>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45F90"/>
    <w:rsid w:val="00257C5E"/>
    <w:rsid w:val="00267F20"/>
    <w:rsid w:val="002708EC"/>
    <w:rsid w:val="00275428"/>
    <w:rsid w:val="00275519"/>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D2B85"/>
    <w:rsid w:val="005E244C"/>
    <w:rsid w:val="005F3947"/>
    <w:rsid w:val="005F5A1C"/>
    <w:rsid w:val="00606867"/>
    <w:rsid w:val="006102D0"/>
    <w:rsid w:val="006112AB"/>
    <w:rsid w:val="006135EC"/>
    <w:rsid w:val="00624699"/>
    <w:rsid w:val="00624C64"/>
    <w:rsid w:val="00631D4B"/>
    <w:rsid w:val="00637553"/>
    <w:rsid w:val="00642CA9"/>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3EA"/>
    <w:rsid w:val="00A166D0"/>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B73A5"/>
    <w:rsid w:val="00DD0D06"/>
    <w:rsid w:val="00DD5A4F"/>
    <w:rsid w:val="00DF760B"/>
    <w:rsid w:val="00E208CC"/>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5755"/>
    <w:rsid w:val="00F27212"/>
    <w:rsid w:val="00F45E23"/>
    <w:rsid w:val="00F47EC2"/>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issdcoxblog.wordpress.com/2017/04/15/the-marathon-of-assessment/"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4628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Paul Smalley</cp:lastModifiedBy>
  <cp:revision>2</cp:revision>
  <cp:lastPrinted>2023-05-18T14:08:00Z</cp:lastPrinted>
  <dcterms:created xsi:type="dcterms:W3CDTF">2024-03-15T09:55:00Z</dcterms:created>
  <dcterms:modified xsi:type="dcterms:W3CDTF">2024-03-15T09:55:00Z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