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41D56B59"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3719B098">
            <w:pPr>
              <w:jc w:val="center"/>
              <w:rPr>
                <w:rFonts w:ascii="Cambria" w:hAnsi="Cambria" w:eastAsia="Georgia" w:cs="Georgia"/>
                <w:b w:val="1"/>
                <w:bCs w:val="1"/>
                <w:color w:val="FFFFFF" w:themeColor="background1"/>
                <w:sz w:val="20"/>
                <w:szCs w:val="20"/>
                <w:u w:val="single"/>
              </w:rPr>
            </w:pPr>
            <w:r w:rsidRPr="41D56B59"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41D56B59" w:rsidR="2154FD0C">
              <w:rPr>
                <w:rFonts w:ascii="Cambria" w:hAnsi="Cambria" w:eastAsia="Georgia" w:cs="Georgia"/>
                <w:b w:val="1"/>
                <w:bCs w:val="1"/>
                <w:color w:val="FFFFFF" w:themeColor="background1" w:themeTint="FF" w:themeShade="FF"/>
                <w:sz w:val="20"/>
                <w:szCs w:val="20"/>
              </w:rPr>
              <w:t xml:space="preserve"> (AY 2</w:t>
            </w:r>
            <w:r w:rsidRPr="41D56B59" w:rsidR="4894EDFF">
              <w:rPr>
                <w:rFonts w:ascii="Cambria" w:hAnsi="Cambria" w:eastAsia="Georgia" w:cs="Georgia"/>
                <w:b w:val="1"/>
                <w:bCs w:val="1"/>
                <w:color w:val="FFFFFF" w:themeColor="background1" w:themeTint="FF" w:themeShade="FF"/>
                <w:sz w:val="20"/>
                <w:szCs w:val="20"/>
              </w:rPr>
              <w:t>3</w:t>
            </w:r>
            <w:r w:rsidRPr="41D56B59" w:rsidR="2154FD0C">
              <w:rPr>
                <w:rFonts w:ascii="Cambria" w:hAnsi="Cambria" w:eastAsia="Georgia" w:cs="Georgia"/>
                <w:b w:val="1"/>
                <w:bCs w:val="1"/>
                <w:color w:val="FFFFFF" w:themeColor="background1" w:themeTint="FF" w:themeShade="FF"/>
                <w:sz w:val="20"/>
                <w:szCs w:val="20"/>
              </w:rPr>
              <w:t>/2</w:t>
            </w:r>
            <w:r w:rsidRPr="41D56B59" w:rsidR="4894EDFF">
              <w:rPr>
                <w:rFonts w:ascii="Cambria" w:hAnsi="Cambria" w:eastAsia="Georgia" w:cs="Georgia"/>
                <w:b w:val="1"/>
                <w:bCs w:val="1"/>
                <w:color w:val="FFFFFF" w:themeColor="background1" w:themeTint="FF" w:themeShade="FF"/>
                <w:sz w:val="20"/>
                <w:szCs w:val="20"/>
              </w:rPr>
              <w:t>4</w:t>
            </w:r>
            <w:r w:rsidRPr="41D56B59" w:rsidR="2154FD0C">
              <w:rPr>
                <w:rFonts w:ascii="Cambria" w:hAnsi="Cambria" w:eastAsia="Georgia" w:cs="Georgia"/>
                <w:b w:val="1"/>
                <w:bCs w:val="1"/>
                <w:color w:val="FFFFFF" w:themeColor="background1" w:themeTint="FF" w:themeShade="FF"/>
                <w:sz w:val="20"/>
                <w:szCs w:val="20"/>
              </w:rPr>
              <w:t>)</w:t>
            </w:r>
            <w:r w:rsidRPr="41D56B59" w:rsidR="28E81556">
              <w:rPr>
                <w:rFonts w:ascii="Cambria" w:hAnsi="Cambria" w:eastAsia="Georgia" w:cs="Georgia"/>
                <w:b w:val="1"/>
                <w:bCs w:val="1"/>
                <w:color w:val="FFFFFF" w:themeColor="background1" w:themeTint="FF" w:themeShade="FF"/>
                <w:sz w:val="20"/>
                <w:szCs w:val="20"/>
              </w:rPr>
              <w:t xml:space="preserve"> </w:t>
            </w:r>
            <w:r w:rsidRPr="41D56B59" w:rsidR="0B046448">
              <w:rPr>
                <w:rFonts w:ascii="Cambria" w:hAnsi="Cambria" w:eastAsia="Georgia" w:cs="Georgia"/>
                <w:b w:val="1"/>
                <w:bCs w:val="1"/>
                <w:color w:val="FFFFFF" w:themeColor="background1" w:themeTint="FF" w:themeShade="FF"/>
                <w:sz w:val="20"/>
                <w:szCs w:val="20"/>
                <w:u w:val="single"/>
              </w:rPr>
              <w:t xml:space="preserve">Week </w:t>
            </w:r>
            <w:r w:rsidRPr="41D56B59" w:rsidR="4053906B">
              <w:rPr>
                <w:rFonts w:ascii="Cambria" w:hAnsi="Cambria" w:eastAsia="Georgia" w:cs="Georgia"/>
                <w:b w:val="1"/>
                <w:bCs w:val="1"/>
                <w:color w:val="FFFFFF" w:themeColor="background1" w:themeTint="FF" w:themeShade="FF"/>
                <w:sz w:val="20"/>
                <w:szCs w:val="20"/>
                <w:u w:val="single"/>
              </w:rPr>
              <w:t>3</w:t>
            </w:r>
            <w:r w:rsidRPr="41D56B59" w:rsidR="28A56845">
              <w:rPr>
                <w:rFonts w:ascii="Cambria" w:hAnsi="Cambria" w:eastAsia="Georgia" w:cs="Georgia"/>
                <w:b w:val="1"/>
                <w:bCs w:val="1"/>
                <w:color w:val="FFFFFF" w:themeColor="background1" w:themeTint="FF" w:themeShade="FF"/>
                <w:sz w:val="20"/>
                <w:szCs w:val="20"/>
                <w:u w:val="single"/>
              </w:rPr>
              <w:t>4</w:t>
            </w:r>
          </w:p>
        </w:tc>
      </w:tr>
      <w:tr w:rsidRPr="00F07217" w:rsidR="00E65DEB" w:rsidTr="41D56B59"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23037FB7">
            <w:pPr>
              <w:jc w:val="both"/>
              <w:rPr>
                <w:rFonts w:ascii="Cambria" w:hAnsi="Cambria"/>
                <w:b w:val="1"/>
                <w:bCs w:val="1"/>
                <w:sz w:val="20"/>
                <w:szCs w:val="20"/>
              </w:rPr>
            </w:pPr>
            <w:r w:rsidRPr="41D56B59" w:rsidR="00606867">
              <w:rPr>
                <w:rFonts w:ascii="Cambria" w:hAnsi="Cambria"/>
                <w:b w:val="1"/>
                <w:bCs w:val="1"/>
                <w:sz w:val="20"/>
                <w:szCs w:val="20"/>
              </w:rPr>
              <w:t>Course:</w:t>
            </w:r>
            <w:r w:rsidRPr="41D56B59" w:rsidR="00866227">
              <w:rPr>
                <w:rFonts w:ascii="Cambria" w:hAnsi="Cambria"/>
                <w:b w:val="1"/>
                <w:bCs w:val="1"/>
                <w:sz w:val="20"/>
                <w:szCs w:val="20"/>
              </w:rPr>
              <w:t xml:space="preserve"> </w:t>
            </w:r>
            <w:r w:rsidRPr="41D56B59" w:rsidR="5E3AB1F5">
              <w:rPr>
                <w:rFonts w:ascii="Cambria" w:hAnsi="Cambria"/>
                <w:b w:val="1"/>
                <w:bCs w:val="1"/>
                <w:sz w:val="20"/>
                <w:szCs w:val="20"/>
              </w:rPr>
              <w:t>History</w:t>
            </w:r>
            <w:r w:rsidRPr="41D56B59" w:rsidR="00B56665">
              <w:rPr>
                <w:rFonts w:ascii="Cambria" w:hAnsi="Cambria"/>
                <w:b w:val="1"/>
                <w:bCs w:val="1"/>
                <w:sz w:val="20"/>
                <w:szCs w:val="20"/>
              </w:rPr>
              <w:t xml:space="preserv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41D56B59"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41D56B59"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7C1CC30" w:rsidRDefault="00B56665" w14:paraId="7061C386" w14:textId="594687E3">
            <w:pPr>
              <w:pStyle w:val="Normal"/>
              <w:suppressLineNumbers w:val="0"/>
              <w:bidi w:val="0"/>
              <w:spacing w:before="0" w:beforeAutospacing="off" w:after="0" w:afterAutospacing="off" w:line="259" w:lineRule="auto"/>
              <w:ind w:left="0" w:right="0"/>
              <w:jc w:val="both"/>
              <w:rPr/>
            </w:pPr>
            <w:r w:rsidRPr="07C1CC30" w:rsidR="318E1FF3">
              <w:rPr>
                <w:rFonts w:ascii="Cambria" w:hAnsi="Cambria"/>
                <w:b w:val="1"/>
                <w:bCs w:val="1"/>
                <w:sz w:val="20"/>
                <w:szCs w:val="20"/>
              </w:rPr>
              <w:t>Consolidation</w:t>
            </w:r>
          </w:p>
        </w:tc>
      </w:tr>
      <w:tr w:rsidRPr="00F07217" w:rsidR="004009A7" w:rsidTr="41D56B59"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41D56B59"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6D779E4" w:rsidRDefault="59B9767D" w14:paraId="2E3558FD" w14:textId="53DF542A">
            <w:pPr>
              <w:pStyle w:val="Normal"/>
              <w:suppressLineNumbers w:val="0"/>
              <w:bidi w:val="0"/>
              <w:spacing w:before="0" w:beforeAutospacing="off" w:after="0" w:afterAutospacing="off" w:line="259" w:lineRule="auto"/>
              <w:ind w:left="0" w:right="0"/>
              <w:jc w:val="both"/>
              <w:rPr/>
            </w:pPr>
            <w:r w:rsidRPr="41D56B59" w:rsidR="6E5ECDA4">
              <w:rPr>
                <w:rFonts w:ascii="Cambria" w:hAnsi="Cambria"/>
                <w:b w:val="1"/>
                <w:bCs w:val="1"/>
                <w:sz w:val="20"/>
                <w:szCs w:val="20"/>
              </w:rPr>
              <w:t>15</w:t>
            </w:r>
            <w:r w:rsidRPr="41D56B59" w:rsidR="5F33CA45">
              <w:rPr>
                <w:rFonts w:ascii="Cambria" w:hAnsi="Cambria"/>
                <w:b w:val="1"/>
                <w:bCs w:val="1"/>
                <w:sz w:val="20"/>
                <w:szCs w:val="20"/>
              </w:rPr>
              <w:t>/</w:t>
            </w:r>
            <w:r w:rsidRPr="41D56B59" w:rsidR="5F7E057A">
              <w:rPr>
                <w:rFonts w:ascii="Cambria" w:hAnsi="Cambria"/>
                <w:b w:val="1"/>
                <w:bCs w:val="1"/>
                <w:sz w:val="20"/>
                <w:szCs w:val="20"/>
              </w:rPr>
              <w:t>4</w:t>
            </w:r>
            <w:r w:rsidRPr="41D56B59" w:rsidR="5F33CA45">
              <w:rPr>
                <w:rFonts w:ascii="Cambria" w:hAnsi="Cambria"/>
                <w:b w:val="1"/>
                <w:bCs w:val="1"/>
                <w:sz w:val="20"/>
                <w:szCs w:val="20"/>
              </w:rPr>
              <w:t>/24</w:t>
            </w:r>
          </w:p>
        </w:tc>
      </w:tr>
      <w:tr w:rsidRPr="00F07217" w:rsidR="001506CA" w:rsidTr="41D56B59"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41D56B59"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39FD9A14" w:rsidP="41D56B59" w:rsidRDefault="39FD9A14" w14:paraId="239AE8DF" w14:textId="23BD7492">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 xml:space="preserve">Christodoulou, D. (2017) Making Good Progress: The Future of Assessment for Learning. Oxford: OUP. [chapters 6-8] </w:t>
            </w:r>
          </w:p>
          <w:p w:rsidR="39FD9A14" w:rsidP="41D56B59" w:rsidRDefault="39FD9A14" w14:paraId="260816A9" w14:textId="2CB2901D">
            <w:pPr>
              <w:pStyle w:val="Normal"/>
              <w:shd w:val="clear" w:color="auto" w:fill="FFFFFF" w:themeFill="background1"/>
              <w:spacing w:before="0" w:beforeAutospacing="off" w:after="0" w:afterAutospacing="off"/>
              <w:rPr/>
            </w:pPr>
            <w:hyperlink r:id="R6d2b4c09ada745a3">
              <w:r w:rsidRPr="41D56B59" w:rsidR="39FD9A14">
                <w:rPr>
                  <w:rStyle w:val="Hyperlink"/>
                  <w:rFonts w:ascii="Segoe UI" w:hAnsi="Segoe UI" w:eastAsia="Segoe UI" w:cs="Segoe UI"/>
                  <w:b w:val="0"/>
                  <w:bCs w:val="0"/>
                  <w:i w:val="0"/>
                  <w:iCs w:val="0"/>
                  <w:caps w:val="0"/>
                  <w:smallCaps w:val="0"/>
                  <w:noProof w:val="0"/>
                  <w:sz w:val="24"/>
                  <w:szCs w:val="24"/>
                  <w:lang w:val="en-GB"/>
                </w:rPr>
                <w:t>https://edgehill.on.worldcat.org/oclc/958479497</w:t>
              </w:r>
            </w:hyperlink>
          </w:p>
          <w:p w:rsidR="41D56B59" w:rsidP="41D56B59" w:rsidRDefault="41D56B59" w14:paraId="5C266391" w14:textId="70316992">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p w:rsidR="39FD9A14" w:rsidP="41D56B59" w:rsidRDefault="39FD9A14" w14:paraId="2E237D1B" w14:textId="6AEF7E3B">
            <w:pPr>
              <w:pStyle w:val="Normal"/>
              <w:suppressLineNumbers w:val="0"/>
              <w:shd w:val="clear" w:color="auto" w:fill="FFFFFF" w:themeFill="background1"/>
              <w:bidi w:val="0"/>
              <w:spacing w:before="0" w:beforeAutospacing="off" w:after="0" w:afterAutospacing="off" w:line="259" w:lineRule="auto"/>
              <w:ind w:left="0" w:right="0"/>
              <w:jc w:val="left"/>
              <w:rPr/>
            </w:pPr>
            <w:r w:rsidRPr="41D56B59" w:rsidR="39FD9A14">
              <w:rPr>
                <w:rFonts w:ascii="Segoe UI" w:hAnsi="Segoe UI" w:eastAsia="Segoe UI" w:cs="Segoe UI"/>
                <w:b w:val="1"/>
                <w:bCs w:val="1"/>
                <w:i w:val="0"/>
                <w:iCs w:val="0"/>
                <w:caps w:val="0"/>
                <w:smallCaps w:val="0"/>
                <w:noProof w:val="0"/>
                <w:color w:val="374151"/>
                <w:sz w:val="24"/>
                <w:szCs w:val="24"/>
                <w:lang w:val="en-GB"/>
              </w:rPr>
              <w:t>Summary</w:t>
            </w:r>
          </w:p>
          <w:p w:rsidR="41D56B59" w:rsidP="41D56B59" w:rsidRDefault="41D56B59" w14:paraId="670E71EE" w14:textId="6F4C7C95">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p w:rsidR="39FD9A14" w:rsidP="41D56B59" w:rsidRDefault="39FD9A14" w14:paraId="6429E587" w14:textId="01A0D122">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rsidR="39FD9A14" w:rsidP="41D56B59" w:rsidRDefault="39FD9A14" w14:paraId="587E05A7" w14:textId="20A3A7DE">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 xml:space="preserve"> </w:t>
            </w:r>
          </w:p>
          <w:p w:rsidR="39FD9A14" w:rsidP="41D56B59" w:rsidRDefault="39FD9A14" w14:paraId="500E19C5" w14:textId="23158ADC">
            <w:pPr>
              <w:pStyle w:val="Normal"/>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374151"/>
                <w:sz w:val="24"/>
                <w:szCs w:val="24"/>
                <w:lang w:val="en-GB"/>
              </w:rPr>
            </w:pPr>
            <w:r w:rsidRPr="41D56B59" w:rsidR="39FD9A14">
              <w:rPr>
                <w:rFonts w:ascii="Segoe UI" w:hAnsi="Segoe UI" w:eastAsia="Segoe UI" w:cs="Segoe UI"/>
                <w:b w:val="1"/>
                <w:bCs w:val="1"/>
                <w:i w:val="0"/>
                <w:iCs w:val="0"/>
                <w:caps w:val="0"/>
                <w:smallCaps w:val="0"/>
                <w:noProof w:val="0"/>
                <w:color w:val="374151"/>
                <w:sz w:val="24"/>
                <w:szCs w:val="24"/>
                <w:lang w:val="en-GB"/>
              </w:rPr>
              <w:t>Limitations</w:t>
            </w:r>
          </w:p>
          <w:p w:rsidR="39FD9A14" w:rsidP="41D56B59" w:rsidRDefault="39FD9A14" w14:paraId="46C37ACA" w14:textId="78A3D25B">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 xml:space="preserve"> </w:t>
            </w:r>
          </w:p>
          <w:p w:rsidR="39FD9A14" w:rsidP="41D56B59" w:rsidRDefault="39FD9A14" w14:paraId="4B730524" w14:textId="17D2BD41">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p w:rsidR="41D56B59" w:rsidP="41D56B59" w:rsidRDefault="41D56B59" w14:paraId="1908FCC5" w14:textId="7FD17723">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p w:rsidR="07C1CC30" w:rsidP="07C1CC30" w:rsidRDefault="07C1CC30" w14:paraId="407E3653" w14:textId="494E0944">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p w:rsidR="0022901E" w:rsidP="06D779E4" w:rsidRDefault="0022901E" w14:paraId="387C8138" w14:textId="28EB56BE">
            <w:pPr>
              <w:pStyle w:val="Normal"/>
              <w:spacing w:before="0" w:beforeAutospacing="off" w:after="0" w:afterAutospacing="off"/>
              <w:rPr>
                <w:rFonts w:ascii="Cambria" w:hAnsi="Cambria" w:eastAsia="Cambria" w:cs="Cambria"/>
                <w:color w:val="0563C1"/>
                <w:sz w:val="24"/>
                <w:szCs w:val="24"/>
                <w:u w:val="single"/>
              </w:rPr>
            </w:pPr>
          </w:p>
        </w:tc>
      </w:tr>
      <w:tr w:rsidRPr="00F07217" w:rsidR="00B5000E" w:rsidTr="41D56B59"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Pr="0096374D" w:rsidR="007F45A4" w:rsidP="41D56B59" w:rsidRDefault="007F45A4" w14:paraId="326916BD" w14:textId="0B6D6641">
            <w:pPr>
              <w:pStyle w:val="xmsolistparagraph"/>
              <w:spacing w:before="0" w:beforeAutospacing="off" w:after="0" w:afterAutospacing="off"/>
              <w:rPr>
                <w:rFonts w:ascii="Segoe UI Symbol" w:hAnsi="Segoe UI Symbol" w:eastAsia="Segoe UI Symbol" w:cs="Segoe UI Symbol"/>
                <w:noProof w:val="0"/>
                <w:lang w:val="en-GB"/>
              </w:rPr>
            </w:pPr>
            <w:r w:rsidRPr="41D56B59" w:rsidR="50126D89">
              <w:rPr>
                <w:rFonts w:ascii="Segoe UI Symbol" w:hAnsi="Segoe UI Symbol" w:eastAsia="Segoe UI Symbol" w:cs="Segoe UI Symbol"/>
                <w:noProof w:val="0"/>
                <w:lang w:val="en-GB"/>
              </w:rPr>
              <w:t xml:space="preserve">ASCL Progression and Assessment in History (2015) Available at: </w:t>
            </w:r>
            <w:hyperlink r:id="R81bc4f860eaa48c5">
              <w:r w:rsidRPr="41D56B59" w:rsidR="50126D89">
                <w:rPr>
                  <w:rStyle w:val="Hyperlink"/>
                  <w:rFonts w:ascii="Segoe UI Symbol" w:hAnsi="Segoe UI Symbol" w:eastAsia="Segoe UI Symbol" w:cs="Segoe UI Symbol"/>
                  <w:noProof w:val="0"/>
                  <w:lang w:val="en-GB"/>
                </w:rPr>
                <w:t>https://historyattallis.weebly.com/uploads/4/5/7/9/4579542/ascl_history_assessment_guidance.pdf</w:t>
              </w:r>
            </w:hyperlink>
          </w:p>
          <w:p w:rsidRPr="0096374D" w:rsidR="007F45A4" w:rsidP="41D56B59" w:rsidRDefault="007F45A4" w14:paraId="618D12A0" w14:textId="5A12B440">
            <w:pPr>
              <w:pStyle w:val="xmsolistparagraph"/>
              <w:spacing w:before="0" w:beforeAutospacing="off" w:after="0" w:afterAutospacing="off"/>
              <w:rPr>
                <w:rFonts w:ascii="Segoe UI Symbol" w:hAnsi="Segoe UI Symbol" w:eastAsia="Segoe UI Symbol" w:cs="Segoe UI Symbol"/>
                <w:noProof w:val="0"/>
                <w:lang w:val="en-GB"/>
              </w:rPr>
            </w:pPr>
          </w:p>
          <w:p w:rsidRPr="0096374D" w:rsidR="007F45A4" w:rsidP="06D779E4" w:rsidRDefault="007F45A4" w14:paraId="02295E43" w14:textId="6AF8B572">
            <w:pPr>
              <w:pStyle w:val="xmsolistparagraph"/>
              <w:spacing w:before="0" w:beforeAutospacing="off" w:after="0" w:afterAutospacing="off"/>
              <w:rPr>
                <w:rFonts w:ascii="Segoe UI Symbol" w:hAnsi="Segoe UI Symbol" w:eastAsia="Segoe UI Symbol" w:cs="Segoe UI Symbol"/>
                <w:noProof w:val="0"/>
                <w:lang w:val="en-GB"/>
              </w:rPr>
            </w:pPr>
            <w:r w:rsidRPr="41D56B59" w:rsidR="34863FBE">
              <w:rPr>
                <w:rFonts w:ascii="Segoe UI Symbol" w:hAnsi="Segoe UI Symbol" w:eastAsia="Segoe UI Symbol" w:cs="Segoe UI Symbol"/>
                <w:noProof w:val="0"/>
                <w:lang w:val="en-GB"/>
              </w:rPr>
              <w:t>This guidance paper considers what good practice looks like within History education</w:t>
            </w:r>
            <w:r w:rsidRPr="41D56B59" w:rsidR="617CC7CB">
              <w:rPr>
                <w:rFonts w:ascii="Segoe UI Symbol" w:hAnsi="Segoe UI Symbol" w:eastAsia="Segoe UI Symbol" w:cs="Segoe UI Symbol"/>
                <w:noProof w:val="0"/>
                <w:lang w:val="en-GB"/>
              </w:rPr>
              <w:t xml:space="preserve"> and how effective progress can be modelled </w:t>
            </w:r>
            <w:r w:rsidRPr="41D56B59" w:rsidR="617CC7CB">
              <w:rPr>
                <w:rFonts w:ascii="Segoe UI Symbol" w:hAnsi="Segoe UI Symbol" w:eastAsia="Segoe UI Symbol" w:cs="Segoe UI Symbol"/>
                <w:noProof w:val="0"/>
                <w:lang w:val="en-GB"/>
              </w:rPr>
              <w:t>within</w:t>
            </w:r>
            <w:r w:rsidRPr="41D56B59" w:rsidR="617CC7CB">
              <w:rPr>
                <w:rFonts w:ascii="Segoe UI Symbol" w:hAnsi="Segoe UI Symbol" w:eastAsia="Segoe UI Symbol" w:cs="Segoe UI Symbol"/>
                <w:noProof w:val="0"/>
                <w:lang w:val="en-GB"/>
              </w:rPr>
              <w:t xml:space="preserve"> the subject. </w:t>
            </w:r>
            <w:r w:rsidRPr="41D56B59" w:rsidR="50126D89">
              <w:rPr>
                <w:rFonts w:ascii="Segoe UI Symbol" w:hAnsi="Segoe UI Symbol" w:eastAsia="Segoe UI Symbol" w:cs="Segoe UI Symbol"/>
                <w:noProof w:val="0"/>
                <w:lang w:val="en-GB"/>
              </w:rPr>
              <w:t xml:space="preserve">  </w:t>
            </w:r>
            <w:r w:rsidRPr="41D56B59" w:rsidR="50126D89">
              <w:rPr>
                <w:rFonts w:ascii="Segoe UI Symbol" w:hAnsi="Segoe UI Symbol" w:eastAsia="Segoe UI Symbol" w:cs="Segoe UI Symbol"/>
                <w:noProof w:val="0"/>
                <w:lang w:val="en-GB"/>
              </w:rPr>
              <w:t xml:space="preserve"> </w:t>
            </w:r>
          </w:p>
        </w:tc>
      </w:tr>
      <w:tr w:rsidRPr="00F07217" w:rsidR="00403E3F" w:rsidTr="41D56B59"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41D56B59"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508F3F52" w:rsidP="41D56B59" w:rsidRDefault="508F3F52" w14:paraId="460A695D" w14:textId="200DF1A3">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Effective assessment is critical to teaching because it provides teachers with information about pupils’ understanding and needs. </w:t>
            </w:r>
          </w:p>
          <w:p w:rsidR="41D56B59" w:rsidP="41D56B59" w:rsidRDefault="41D56B59" w14:paraId="6087496E" w14:textId="2AAEC4A9">
            <w:pPr>
              <w:pStyle w:val="Normal"/>
              <w:bidi w:val="0"/>
              <w:ind w:left="0"/>
              <w:rPr>
                <w:rFonts w:ascii="Segoe UI Symbol" w:hAnsi="Segoe UI Symbol" w:eastAsia="Segoe UI Symbol" w:cs="Segoe UI Symbol"/>
                <w:sz w:val="24"/>
                <w:szCs w:val="24"/>
              </w:rPr>
            </w:pPr>
          </w:p>
          <w:p w:rsidR="508F3F52" w:rsidP="41D56B59" w:rsidRDefault="508F3F52" w14:paraId="0052A12C" w14:textId="27A2B3AC">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Good assessment helps teachers avoid being over-influenced by potentially misleading factors, such as how busy pupils appear. </w:t>
            </w:r>
          </w:p>
          <w:p w:rsidR="41D56B59" w:rsidP="41D56B59" w:rsidRDefault="41D56B59" w14:paraId="6197CD68" w14:textId="471B4CBC">
            <w:pPr>
              <w:pStyle w:val="Normal"/>
              <w:bidi w:val="0"/>
              <w:ind w:left="0"/>
              <w:rPr>
                <w:rFonts w:ascii="Segoe UI Symbol" w:hAnsi="Segoe UI Symbol" w:eastAsia="Segoe UI Symbol" w:cs="Segoe UI Symbol"/>
                <w:sz w:val="24"/>
                <w:szCs w:val="24"/>
              </w:rPr>
            </w:pPr>
          </w:p>
          <w:p w:rsidR="508F3F52" w:rsidP="41D56B59" w:rsidRDefault="508F3F52" w14:paraId="25D363A2" w14:textId="68A21B60">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Before using any assessment, teachers should be clear about the decision it will be used to support and be able to justify its use. </w:t>
            </w:r>
          </w:p>
          <w:p w:rsidR="41D56B59" w:rsidP="41D56B59" w:rsidRDefault="41D56B59" w14:paraId="335982E7" w14:textId="54D3036E">
            <w:pPr>
              <w:pStyle w:val="Normal"/>
              <w:bidi w:val="0"/>
              <w:ind w:left="0"/>
              <w:rPr>
                <w:rFonts w:ascii="Segoe UI Symbol" w:hAnsi="Segoe UI Symbol" w:eastAsia="Segoe UI Symbol" w:cs="Segoe UI Symbol"/>
                <w:sz w:val="24"/>
                <w:szCs w:val="24"/>
              </w:rPr>
            </w:pPr>
          </w:p>
          <w:p w:rsidR="508F3F52" w:rsidP="41D56B59" w:rsidRDefault="508F3F52" w14:paraId="0BE5092F" w14:textId="303DD780">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Include a range of types of questions in class discussions to extend and challenge pupils (e.g. by modelling new vocabulary or asking pupils to justify answers). </w:t>
            </w:r>
          </w:p>
          <w:p w:rsidR="41D56B59" w:rsidP="41D56B59" w:rsidRDefault="41D56B59" w14:paraId="7ED238D3" w14:textId="676D9C2D">
            <w:pPr>
              <w:pStyle w:val="Normal"/>
              <w:bidi w:val="0"/>
              <w:ind w:left="0"/>
              <w:rPr>
                <w:rFonts w:ascii="Segoe UI Symbol" w:hAnsi="Segoe UI Symbol" w:eastAsia="Segoe UI Symbol" w:cs="Segoe UI Symbol"/>
                <w:sz w:val="24"/>
                <w:szCs w:val="24"/>
              </w:rPr>
            </w:pPr>
          </w:p>
          <w:p w:rsidR="508F3F52" w:rsidP="41D56B59" w:rsidRDefault="508F3F52" w14:paraId="3C4E68E4" w14:textId="307B20E8">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Scaffolding and modelling </w:t>
            </w:r>
            <w:r w:rsidRPr="41D56B59" w:rsidR="508F3F52">
              <w:rPr>
                <w:rFonts w:ascii="Segoe UI Symbol" w:hAnsi="Segoe UI Symbol" w:eastAsia="Segoe UI Symbol" w:cs="Segoe UI Symbol"/>
                <w:sz w:val="24"/>
                <w:szCs w:val="24"/>
              </w:rPr>
              <w:t>helps</w:t>
            </w:r>
            <w:r w:rsidRPr="41D56B59" w:rsidR="508F3F52">
              <w:rPr>
                <w:rFonts w:ascii="Segoe UI Symbol" w:hAnsi="Segoe UI Symbol" w:eastAsia="Segoe UI Symbol" w:cs="Segoe UI Symbol"/>
                <w:sz w:val="24"/>
                <w:szCs w:val="24"/>
              </w:rPr>
              <w:t xml:space="preserve"> to reduce cognitive load. </w:t>
            </w:r>
          </w:p>
          <w:p w:rsidR="41D56B59" w:rsidP="41D56B59" w:rsidRDefault="41D56B59" w14:paraId="54E9C281" w14:textId="60242950">
            <w:pPr>
              <w:pStyle w:val="Normal"/>
              <w:bidi w:val="0"/>
              <w:ind w:left="0"/>
              <w:rPr>
                <w:rFonts w:ascii="Segoe UI Symbol" w:hAnsi="Segoe UI Symbol" w:eastAsia="Segoe UI Symbol" w:cs="Segoe UI Symbol"/>
                <w:sz w:val="24"/>
                <w:szCs w:val="24"/>
              </w:rPr>
            </w:pPr>
          </w:p>
          <w:p w:rsidR="508F3F52" w:rsidP="41D56B59" w:rsidRDefault="508F3F52" w14:paraId="45C145C0" w14:textId="16137150">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Know the assessment structures in place for GCSE History.</w:t>
            </w:r>
          </w:p>
          <w:p w:rsidR="41D56B59" w:rsidP="41D56B59" w:rsidRDefault="41D56B59" w14:paraId="588BE5BC" w14:textId="0620C53B">
            <w:pPr>
              <w:pStyle w:val="Normal"/>
              <w:bidi w:val="0"/>
              <w:ind w:left="0"/>
              <w:rPr>
                <w:rFonts w:ascii="Segoe UI Symbol" w:hAnsi="Segoe UI Symbol" w:eastAsia="Segoe UI Symbol" w:cs="Segoe UI Symbol"/>
                <w:sz w:val="24"/>
                <w:szCs w:val="24"/>
              </w:rPr>
            </w:pPr>
          </w:p>
          <w:p w:rsidR="508F3F52" w:rsidP="41D56B59" w:rsidRDefault="508F3F52" w14:paraId="5D6F684B" w14:textId="20127158">
            <w:pPr>
              <w:pStyle w:val="ListParagraph"/>
              <w:numPr>
                <w:ilvl w:val="0"/>
                <w:numId w:val="34"/>
              </w:numPr>
              <w:bidi w:val="0"/>
              <w:rPr>
                <w:rFonts w:ascii="Segoe UI Symbol" w:hAnsi="Segoe UI Symbol" w:eastAsia="Segoe UI Symbol" w:cs="Segoe UI Symbol"/>
                <w:sz w:val="24"/>
                <w:szCs w:val="24"/>
              </w:rPr>
            </w:pPr>
            <w:r w:rsidRPr="41D56B59" w:rsidR="508F3F52">
              <w:rPr>
                <w:rFonts w:ascii="Segoe UI Symbol" w:hAnsi="Segoe UI Symbol" w:eastAsia="Segoe UI Symbol" w:cs="Segoe UI Symbol"/>
                <w:sz w:val="24"/>
                <w:szCs w:val="24"/>
              </w:rPr>
              <w:t xml:space="preserve">As part of the Teaching, Learning and Assessment cycle, assessment enables teachers to draw conclusions about what pupils have learned by looking at patterns of performance over </w:t>
            </w:r>
            <w:r w:rsidRPr="41D56B59" w:rsidR="508F3F52">
              <w:rPr>
                <w:rFonts w:ascii="Segoe UI Symbol" w:hAnsi="Segoe UI Symbol" w:eastAsia="Segoe UI Symbol" w:cs="Segoe UI Symbol"/>
                <w:sz w:val="24"/>
                <w:szCs w:val="24"/>
              </w:rPr>
              <w:t>a number of</w:t>
            </w:r>
            <w:r w:rsidRPr="41D56B59" w:rsidR="508F3F52">
              <w:rPr>
                <w:rFonts w:ascii="Segoe UI Symbol" w:hAnsi="Segoe UI Symbol" w:eastAsia="Segoe UI Symbol" w:cs="Segoe UI Symbol"/>
                <w:sz w:val="24"/>
                <w:szCs w:val="24"/>
              </w:rPr>
              <w:t xml:space="preserve"> assessments (e.g. appreciating that assessments draw inferences about learning from performance).</w:t>
            </w:r>
          </w:p>
          <w:p w:rsidR="41D56B59" w:rsidP="41D56B59" w:rsidRDefault="41D56B59" w14:paraId="2033B6E9" w14:textId="3D7553B0">
            <w:pPr>
              <w:pStyle w:val="Normal"/>
              <w:bidi w:val="0"/>
              <w:ind w:left="0"/>
              <w:rPr>
                <w:rFonts w:ascii="Segoe UI Symbol" w:hAnsi="Segoe UI Symbol" w:eastAsia="Segoe UI Symbol" w:cs="Segoe UI Symbol"/>
                <w:sz w:val="24"/>
                <w:szCs w:val="24"/>
              </w:rPr>
            </w:pPr>
          </w:p>
          <w:p w:rsidR="07C1CC30" w:rsidP="07C1CC30" w:rsidRDefault="07C1CC30" w14:paraId="03B9EB4D" w14:textId="3ED0DC2F">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41D56B59"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41D56B59"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7882B192" w:rsidP="41D56B59" w:rsidRDefault="7882B192" w14:paraId="2D0E43F7" w14:textId="41DB7F5C">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 xml:space="preserve">Plan formative assessment tasks linked to lesson </w:t>
            </w:r>
            <w:r w:rsidRPr="41D56B59" w:rsidR="7882B192">
              <w:rPr>
                <w:rFonts w:ascii="Segoe UI Symbol" w:hAnsi="Segoe UI Symbol" w:eastAsia="Segoe UI Symbol" w:cs="Segoe UI Symbol"/>
                <w:sz w:val="24"/>
                <w:szCs w:val="24"/>
              </w:rPr>
              <w:t>objectives</w:t>
            </w:r>
            <w:r w:rsidRPr="41D56B59" w:rsidR="7882B192">
              <w:rPr>
                <w:rFonts w:ascii="Segoe UI Symbol" w:hAnsi="Segoe UI Symbol" w:eastAsia="Segoe UI Symbol" w:cs="Segoe UI Symbol"/>
                <w:sz w:val="24"/>
                <w:szCs w:val="24"/>
              </w:rPr>
              <w:t xml:space="preserve"> and how to think ahead about what would </w:t>
            </w:r>
            <w:r w:rsidRPr="41D56B59" w:rsidR="7882B192">
              <w:rPr>
                <w:rFonts w:ascii="Segoe UI Symbol" w:hAnsi="Segoe UI Symbol" w:eastAsia="Segoe UI Symbol" w:cs="Segoe UI Symbol"/>
                <w:sz w:val="24"/>
                <w:szCs w:val="24"/>
              </w:rPr>
              <w:t>indicate</w:t>
            </w:r>
            <w:r w:rsidRPr="41D56B59" w:rsidR="7882B192">
              <w:rPr>
                <w:rFonts w:ascii="Segoe UI Symbol" w:hAnsi="Segoe UI Symbol" w:eastAsia="Segoe UI Symbol" w:cs="Segoe UI Symbol"/>
                <w:sz w:val="24"/>
                <w:szCs w:val="24"/>
              </w:rPr>
              <w:t xml:space="preserve"> understanding (e.g., using hinge questions) and </w:t>
            </w:r>
            <w:r w:rsidRPr="41D56B59" w:rsidR="7882B192">
              <w:rPr>
                <w:rFonts w:ascii="Segoe UI Symbol" w:hAnsi="Segoe UI Symbol" w:eastAsia="Segoe UI Symbol" w:cs="Segoe UI Symbol"/>
                <w:sz w:val="24"/>
                <w:szCs w:val="24"/>
              </w:rPr>
              <w:t>monitor</w:t>
            </w:r>
            <w:r w:rsidRPr="41D56B59" w:rsidR="7882B192">
              <w:rPr>
                <w:rFonts w:ascii="Segoe UI Symbol" w:hAnsi="Segoe UI Symbol" w:eastAsia="Segoe UI Symbol" w:cs="Segoe UI Symbol"/>
                <w:sz w:val="24"/>
                <w:szCs w:val="24"/>
              </w:rPr>
              <w:t xml:space="preserve"> pupil work during lessons, including checking for misconceptions. </w:t>
            </w:r>
          </w:p>
          <w:p w:rsidR="41D56B59" w:rsidP="41D56B59" w:rsidRDefault="41D56B59" w14:paraId="5922A8BE" w14:textId="78329048">
            <w:pPr>
              <w:pStyle w:val="Normal"/>
              <w:ind w:left="0"/>
              <w:rPr>
                <w:rFonts w:ascii="Segoe UI Symbol" w:hAnsi="Segoe UI Symbol" w:eastAsia="Segoe UI Symbol" w:cs="Segoe UI Symbol"/>
                <w:sz w:val="24"/>
                <w:szCs w:val="24"/>
              </w:rPr>
            </w:pPr>
          </w:p>
          <w:p w:rsidR="7882B192" w:rsidP="41D56B59" w:rsidRDefault="7882B192" w14:paraId="2A766E3D" w14:textId="14A0EA41">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Structure assessment tasks to check for prior knowledge, knowledge gaps, and pre-existing misconceptions.</w:t>
            </w:r>
          </w:p>
          <w:p w:rsidR="41D56B59" w:rsidP="41D56B59" w:rsidRDefault="41D56B59" w14:paraId="7B609A0E" w14:textId="787C5EF5">
            <w:pPr>
              <w:pStyle w:val="Normal"/>
              <w:ind w:left="0"/>
              <w:rPr>
                <w:rFonts w:ascii="Segoe UI Symbol" w:hAnsi="Segoe UI Symbol" w:eastAsia="Segoe UI Symbol" w:cs="Segoe UI Symbol"/>
                <w:sz w:val="24"/>
                <w:szCs w:val="24"/>
              </w:rPr>
            </w:pPr>
          </w:p>
          <w:p w:rsidR="7882B192" w:rsidP="41D56B59" w:rsidRDefault="7882B192" w14:paraId="49F67817" w14:textId="4DBE90B7">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Draw conclusions about the level of pupil learning based on effective assessment tasks and the use of data.</w:t>
            </w:r>
          </w:p>
          <w:p w:rsidR="41D56B59" w:rsidP="41D56B59" w:rsidRDefault="41D56B59" w14:paraId="5DC65780" w14:textId="1F7FF921">
            <w:pPr>
              <w:pStyle w:val="Normal"/>
              <w:ind w:left="0"/>
              <w:rPr>
                <w:rFonts w:ascii="Segoe UI Symbol" w:hAnsi="Segoe UI Symbol" w:eastAsia="Segoe UI Symbol" w:cs="Segoe UI Symbol"/>
                <w:sz w:val="24"/>
                <w:szCs w:val="24"/>
              </w:rPr>
            </w:pPr>
          </w:p>
          <w:p w:rsidR="7882B192" w:rsidP="41D56B59" w:rsidRDefault="7882B192" w14:paraId="77D5BFCF" w14:textId="74BE6208">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 xml:space="preserve">Use data to effectively enable pupils to learn and make progress checking for prior knowledge and pre-existing misconceptions. </w:t>
            </w:r>
          </w:p>
          <w:p w:rsidR="41D56B59" w:rsidP="41D56B59" w:rsidRDefault="41D56B59" w14:paraId="07C6FBD1" w14:textId="234D012E">
            <w:pPr>
              <w:pStyle w:val="Normal"/>
              <w:ind w:left="0"/>
              <w:rPr>
                <w:rFonts w:ascii="Segoe UI Symbol" w:hAnsi="Segoe UI Symbol" w:eastAsia="Segoe UI Symbol" w:cs="Segoe UI Symbol"/>
                <w:sz w:val="24"/>
                <w:szCs w:val="24"/>
              </w:rPr>
            </w:pPr>
          </w:p>
          <w:p w:rsidR="7882B192" w:rsidP="41D56B59" w:rsidRDefault="7882B192" w14:paraId="70462ECC" w14:textId="38B66CFF">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Identify</w:t>
            </w:r>
            <w:r w:rsidRPr="41D56B59" w:rsidR="7882B192">
              <w:rPr>
                <w:rFonts w:ascii="Segoe UI Symbol" w:hAnsi="Segoe UI Symbol" w:eastAsia="Segoe UI Symbol" w:cs="Segoe UI Symbol"/>
                <w:sz w:val="24"/>
                <w:szCs w:val="24"/>
              </w:rPr>
              <w:t xml:space="preserve"> common strategies to provide feedback/feedforward to pupils. </w:t>
            </w:r>
          </w:p>
          <w:p w:rsidR="41D56B59" w:rsidP="41D56B59" w:rsidRDefault="41D56B59" w14:paraId="3919DCDA" w14:textId="20FAAEB7">
            <w:pPr>
              <w:pStyle w:val="Normal"/>
              <w:ind w:left="0"/>
              <w:rPr>
                <w:rFonts w:ascii="Segoe UI Symbol" w:hAnsi="Segoe UI Symbol" w:eastAsia="Segoe UI Symbol" w:cs="Segoe UI Symbol"/>
                <w:sz w:val="24"/>
                <w:szCs w:val="24"/>
              </w:rPr>
            </w:pPr>
          </w:p>
          <w:p w:rsidR="7882B192" w:rsidP="41D56B59" w:rsidRDefault="7882B192" w14:paraId="700BF2CD" w14:textId="4E3DB760">
            <w:pPr>
              <w:pStyle w:val="ListParagraph"/>
              <w:numPr>
                <w:ilvl w:val="0"/>
                <w:numId w:val="3"/>
              </w:numPr>
              <w:rPr>
                <w:rFonts w:ascii="Segoe UI Symbol" w:hAnsi="Segoe UI Symbol" w:eastAsia="Segoe UI Symbol" w:cs="Segoe UI Symbol"/>
                <w:sz w:val="24"/>
                <w:szCs w:val="24"/>
              </w:rPr>
            </w:pPr>
            <w:r w:rsidRPr="41D56B59" w:rsidR="7882B192">
              <w:rPr>
                <w:rFonts w:ascii="Segoe UI Symbol" w:hAnsi="Segoe UI Symbol" w:eastAsia="Segoe UI Symbol" w:cs="Segoe UI Symbol"/>
                <w:sz w:val="24"/>
                <w:szCs w:val="24"/>
              </w:rPr>
              <w:t>Use subject examination material to structure assessment tasks</w:t>
            </w:r>
          </w:p>
          <w:p w:rsidR="41D56B59" w:rsidP="41D56B59" w:rsidRDefault="41D56B59" w14:paraId="14E2F4DA" w14:textId="497B99CF">
            <w:pPr>
              <w:pStyle w:val="Normal"/>
              <w:ind w:left="0"/>
              <w:rPr>
                <w:rFonts w:ascii="Segoe UI Symbol" w:hAnsi="Segoe UI Symbol" w:eastAsia="Segoe UI Symbol" w:cs="Segoe UI Symbol"/>
                <w:sz w:val="24"/>
                <w:szCs w:val="24"/>
              </w:rPr>
            </w:pPr>
          </w:p>
          <w:p w:rsidR="07C1CC30" w:rsidP="07C1CC30" w:rsidRDefault="07C1CC30" w14:paraId="7319BA6E" w14:textId="669C0913">
            <w:pPr>
              <w:pStyle w:val="Normal"/>
              <w:widowControl w:val="1"/>
              <w:ind w:left="0"/>
              <w:rPr>
                <w:rFonts w:ascii="Segoe UI Symbol" w:hAnsi="Segoe UI Symbol" w:eastAsia="Segoe UI Symbol" w:cs="Segoe UI Symbol"/>
                <w:color w:val="000000" w:themeColor="text1" w:themeTint="FF" w:themeShade="FF"/>
                <w:sz w:val="24"/>
                <w:szCs w:val="24"/>
              </w:rPr>
            </w:pP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41D56B59"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0CE74454" w:rsidP="41D56B59" w:rsidRDefault="0CE74454" w14:paraId="03D57E05" w14:textId="1C31AF1A">
            <w:pPr>
              <w:pStyle w:val="ListParagraph"/>
              <w:numPr>
                <w:ilvl w:val="0"/>
                <w:numId w:val="2"/>
              </w:numPr>
              <w:rPr>
                <w:rFonts w:ascii="Segoe UI Symbol" w:hAnsi="Segoe UI Symbol" w:eastAsia="Segoe UI Symbol" w:cs="Segoe UI Symbol"/>
                <w:sz w:val="24"/>
                <w:szCs w:val="24"/>
                <w:highlight w:val="yellow"/>
              </w:rPr>
            </w:pPr>
            <w:r w:rsidRPr="41D56B59" w:rsidR="0CE74454">
              <w:rPr>
                <w:rFonts w:ascii="Segoe UI Symbol" w:hAnsi="Segoe UI Symbol" w:eastAsia="Segoe UI Symbol" w:cs="Segoe UI Symbol"/>
                <w:sz w:val="24"/>
                <w:szCs w:val="24"/>
                <w:highlight w:val="yellow"/>
              </w:rPr>
              <w:t>Use the focus of discussions from mentor meetings, targets, lesson observation feedback and task to reflect on areas of focus and development</w:t>
            </w:r>
            <w:r w:rsidRPr="41D56B59" w:rsidR="0CE74454">
              <w:rPr>
                <w:rFonts w:ascii="Segoe UI Symbol" w:hAnsi="Segoe UI Symbol" w:eastAsia="Segoe UI Symbol" w:cs="Segoe UI Symbol"/>
                <w:sz w:val="24"/>
                <w:szCs w:val="24"/>
                <w:highlight w:val="yellow"/>
              </w:rPr>
              <w:t xml:space="preserve">.  </w:t>
            </w:r>
          </w:p>
          <w:p w:rsidR="41D56B59" w:rsidP="41D56B59" w:rsidRDefault="41D56B59" w14:paraId="29101837" w14:textId="5848F3CF">
            <w:pPr>
              <w:pStyle w:val="Normal"/>
              <w:ind w:left="0"/>
              <w:rPr>
                <w:rFonts w:ascii="Segoe UI Symbol" w:hAnsi="Segoe UI Symbol" w:eastAsia="Segoe UI Symbol" w:cs="Segoe UI Symbol"/>
                <w:sz w:val="24"/>
                <w:szCs w:val="24"/>
                <w:highlight w:val="yellow"/>
              </w:rPr>
            </w:pPr>
          </w:p>
          <w:p w:rsidR="41D56B59" w:rsidP="41D56B59" w:rsidRDefault="41D56B59" w14:paraId="3E966165" w14:textId="01F95BB9">
            <w:pPr>
              <w:pStyle w:val="Normal"/>
              <w:ind w:left="0"/>
              <w:rPr>
                <w:rFonts w:ascii="Segoe UI Symbol" w:hAnsi="Segoe UI Symbol" w:eastAsia="Segoe UI Symbol" w:cs="Segoe UI Symbol"/>
                <w:sz w:val="24"/>
                <w:szCs w:val="24"/>
                <w:highlight w:val="yellow"/>
              </w:rPr>
            </w:pPr>
          </w:p>
          <w:p w:rsidR="0CE74454" w:rsidP="41D56B59" w:rsidRDefault="0CE74454" w14:paraId="5355D7D2" w14:textId="05B990D7">
            <w:pPr>
              <w:pStyle w:val="ListParagraph"/>
              <w:numPr>
                <w:ilvl w:val="0"/>
                <w:numId w:val="2"/>
              </w:numPr>
              <w:rPr>
                <w:rFonts w:ascii="Segoe UI Symbol" w:hAnsi="Segoe UI Symbol" w:eastAsia="Segoe UI Symbol" w:cs="Segoe UI Symbol"/>
                <w:highlight w:val="yellow"/>
              </w:rPr>
            </w:pPr>
            <w:r w:rsidRPr="41D56B59" w:rsidR="0CE74454">
              <w:rPr>
                <w:rFonts w:ascii="Segoe UI Symbol" w:hAnsi="Segoe UI Symbol" w:eastAsia="Segoe UI Symbol" w:cs="Segoe UI Symbol"/>
                <w:highlight w:val="yellow"/>
              </w:rPr>
              <w:t>Explore and reflect on how assessments coupled with student data inform planning and interventions in your setting.</w:t>
            </w:r>
          </w:p>
          <w:p w:rsidR="41D56B59" w:rsidP="41D56B59" w:rsidRDefault="41D56B59" w14:paraId="5ADA405D" w14:textId="7D231FC5">
            <w:pPr>
              <w:pStyle w:val="Normal"/>
              <w:rPr>
                <w:rFonts w:ascii="Segoe UI Symbol" w:hAnsi="Segoe UI Symbol" w:eastAsia="Segoe UI Symbol" w:cs="Segoe UI Symbol"/>
                <w:sz w:val="24"/>
                <w:szCs w:val="24"/>
                <w:highlight w:val="yellow"/>
              </w:rPr>
            </w:pPr>
          </w:p>
          <w:p w:rsidR="07C1CC30" w:rsidP="07C1CC30" w:rsidRDefault="07C1CC30" w14:paraId="19210A3B" w14:textId="1F6D8546">
            <w:pPr>
              <w:pStyle w:val="Normal"/>
              <w:widowControl w:val="1"/>
              <w:spacing w:before="0"/>
              <w:ind w:left="0"/>
              <w:contextualSpacing/>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pPr>
          </w:p>
          <w:p w:rsidR="06D779E4" w:rsidP="06D779E4" w:rsidRDefault="06D779E4" w14:paraId="419CAC9F" w14:textId="59F5AE89">
            <w:pPr>
              <w:pStyle w:val="Normal"/>
              <w:ind w:left="0"/>
              <w:rPr>
                <w:b w:val="1"/>
                <w:bCs w:val="1"/>
                <w:color w:val="000000" w:themeColor="text1" w:themeTint="FF" w:themeShade="FF"/>
                <w:sz w:val="24"/>
                <w:szCs w:val="24"/>
                <w:highlight w:val="yellow"/>
              </w:rPr>
            </w:pPr>
          </w:p>
          <w:p w:rsidR="0022901E" w:rsidP="0022901E" w:rsidRDefault="0022901E" w14:paraId="217CB042" w14:textId="6633C6D5">
            <w:pPr>
              <w:pStyle w:val="Normal"/>
              <w:ind w:left="0"/>
              <w:rPr>
                <w:b w:val="1"/>
                <w:bCs w:val="1"/>
                <w:color w:val="000000" w:themeColor="text1" w:themeTint="FF" w:themeShade="FF"/>
                <w:sz w:val="24"/>
                <w:szCs w:val="24"/>
                <w:highlight w:val="yellow"/>
              </w:rPr>
            </w:pPr>
          </w:p>
          <w:p w:rsidR="50384C11" w:rsidP="50384C11" w:rsidRDefault="50384C11" w14:paraId="0651F123" w14:textId="5CA42187">
            <w:pPr>
              <w:pStyle w:val="Normal"/>
              <w:ind w:left="0"/>
              <w:rPr>
                <w:b w:val="1"/>
                <w:bCs w:val="1"/>
                <w:color w:val="000000" w:themeColor="text1" w:themeTint="FF" w:themeShade="FF"/>
                <w:sz w:val="24"/>
                <w:szCs w:val="24"/>
                <w:highlight w:val="yellow"/>
              </w:rPr>
            </w:pP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41D56B59"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41D56B59"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41D56B59"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41D56B59"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41D56B59"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41D56B59"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41D56B59"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1D56B59"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1D56B59"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41D56B59"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498DF2"/>
    <w:rsid w:val="027E7B40"/>
    <w:rsid w:val="02D6B5D1"/>
    <w:rsid w:val="042A0780"/>
    <w:rsid w:val="04E7CE3D"/>
    <w:rsid w:val="05038555"/>
    <w:rsid w:val="0514B944"/>
    <w:rsid w:val="051FCE2B"/>
    <w:rsid w:val="05592BA6"/>
    <w:rsid w:val="05DF0937"/>
    <w:rsid w:val="05E13E40"/>
    <w:rsid w:val="067536BF"/>
    <w:rsid w:val="06ADBEBA"/>
    <w:rsid w:val="06B72B9C"/>
    <w:rsid w:val="06D358C7"/>
    <w:rsid w:val="06D779E4"/>
    <w:rsid w:val="07363FCA"/>
    <w:rsid w:val="07AA26F4"/>
    <w:rsid w:val="07B7B024"/>
    <w:rsid w:val="07C1CC30"/>
    <w:rsid w:val="07CD1810"/>
    <w:rsid w:val="083BE246"/>
    <w:rsid w:val="08A6A640"/>
    <w:rsid w:val="08FEF37E"/>
    <w:rsid w:val="0935BEA5"/>
    <w:rsid w:val="098F82FD"/>
    <w:rsid w:val="09D1A08E"/>
    <w:rsid w:val="09E82679"/>
    <w:rsid w:val="0ABBB43B"/>
    <w:rsid w:val="0B046448"/>
    <w:rsid w:val="0B3EB9E1"/>
    <w:rsid w:val="0BDE4702"/>
    <w:rsid w:val="0BE2BCC0"/>
    <w:rsid w:val="0BFAD37E"/>
    <w:rsid w:val="0CA4559B"/>
    <w:rsid w:val="0CE74454"/>
    <w:rsid w:val="0D7A1763"/>
    <w:rsid w:val="0D7AE4DB"/>
    <w:rsid w:val="0DC4A605"/>
    <w:rsid w:val="0E7396BC"/>
    <w:rsid w:val="0F15E7C4"/>
    <w:rsid w:val="0F6DCC29"/>
    <w:rsid w:val="0FDBF65D"/>
    <w:rsid w:val="107CBA5D"/>
    <w:rsid w:val="10B1B825"/>
    <w:rsid w:val="10EFD998"/>
    <w:rsid w:val="1155D281"/>
    <w:rsid w:val="12047CBC"/>
    <w:rsid w:val="1292F5D9"/>
    <w:rsid w:val="1296A844"/>
    <w:rsid w:val="12981728"/>
    <w:rsid w:val="1359D3BE"/>
    <w:rsid w:val="13D06A63"/>
    <w:rsid w:val="14B59707"/>
    <w:rsid w:val="154F549C"/>
    <w:rsid w:val="166F18F2"/>
    <w:rsid w:val="17601E8A"/>
    <w:rsid w:val="1771B7C3"/>
    <w:rsid w:val="179B1FF1"/>
    <w:rsid w:val="183E27DF"/>
    <w:rsid w:val="18573EB4"/>
    <w:rsid w:val="1872E06F"/>
    <w:rsid w:val="187DC252"/>
    <w:rsid w:val="194BC190"/>
    <w:rsid w:val="196408A5"/>
    <w:rsid w:val="1A8891CC"/>
    <w:rsid w:val="1B4859F2"/>
    <w:rsid w:val="1B56F7DA"/>
    <w:rsid w:val="1C24622D"/>
    <w:rsid w:val="1C800FE3"/>
    <w:rsid w:val="1D7AEBB6"/>
    <w:rsid w:val="1E973C26"/>
    <w:rsid w:val="1EDE98A9"/>
    <w:rsid w:val="1F1FF911"/>
    <w:rsid w:val="1F985692"/>
    <w:rsid w:val="1FC31179"/>
    <w:rsid w:val="205134C6"/>
    <w:rsid w:val="2064C9F7"/>
    <w:rsid w:val="207A690A"/>
    <w:rsid w:val="2096CDB8"/>
    <w:rsid w:val="20ED0A5F"/>
    <w:rsid w:val="2154FD0C"/>
    <w:rsid w:val="2216396B"/>
    <w:rsid w:val="222F2C5D"/>
    <w:rsid w:val="224ACAE7"/>
    <w:rsid w:val="22B2D7B9"/>
    <w:rsid w:val="2348E162"/>
    <w:rsid w:val="23AAA3EE"/>
    <w:rsid w:val="240A65EC"/>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A8F92D"/>
    <w:rsid w:val="2B02B945"/>
    <w:rsid w:val="2CE3753F"/>
    <w:rsid w:val="2D032A57"/>
    <w:rsid w:val="2D78DEC3"/>
    <w:rsid w:val="2D79DF26"/>
    <w:rsid w:val="2DA22EC5"/>
    <w:rsid w:val="2DCF18D6"/>
    <w:rsid w:val="2E1F2954"/>
    <w:rsid w:val="2E7E50BC"/>
    <w:rsid w:val="2EBD668D"/>
    <w:rsid w:val="2F0B69D1"/>
    <w:rsid w:val="318E1FF3"/>
    <w:rsid w:val="31E891B0"/>
    <w:rsid w:val="320BFDA4"/>
    <w:rsid w:val="321C324A"/>
    <w:rsid w:val="3232C097"/>
    <w:rsid w:val="32474805"/>
    <w:rsid w:val="326C44A4"/>
    <w:rsid w:val="32EF65E9"/>
    <w:rsid w:val="33A7CE05"/>
    <w:rsid w:val="340AD684"/>
    <w:rsid w:val="3434A3A4"/>
    <w:rsid w:val="34863FBE"/>
    <w:rsid w:val="34980AFC"/>
    <w:rsid w:val="34B3BD21"/>
    <w:rsid w:val="34E4DD6B"/>
    <w:rsid w:val="35167A6B"/>
    <w:rsid w:val="353CB737"/>
    <w:rsid w:val="35439E66"/>
    <w:rsid w:val="3553D30C"/>
    <w:rsid w:val="35BE3730"/>
    <w:rsid w:val="35BE3730"/>
    <w:rsid w:val="3657C0EA"/>
    <w:rsid w:val="36A09214"/>
    <w:rsid w:val="36C781C9"/>
    <w:rsid w:val="377FBC2E"/>
    <w:rsid w:val="37BB374B"/>
    <w:rsid w:val="37CFABBE"/>
    <w:rsid w:val="38272833"/>
    <w:rsid w:val="385DB780"/>
    <w:rsid w:val="3919F3B5"/>
    <w:rsid w:val="39437105"/>
    <w:rsid w:val="396B7C1F"/>
    <w:rsid w:val="39AAF93D"/>
    <w:rsid w:val="39E9C567"/>
    <w:rsid w:val="39FD9A14"/>
    <w:rsid w:val="3AC9B0B5"/>
    <w:rsid w:val="3B2861F4"/>
    <w:rsid w:val="3B550861"/>
    <w:rsid w:val="3CA67D74"/>
    <w:rsid w:val="3CA87BD8"/>
    <w:rsid w:val="3CD052A3"/>
    <w:rsid w:val="3CF33A1C"/>
    <w:rsid w:val="3D4131D0"/>
    <w:rsid w:val="3D4E463A"/>
    <w:rsid w:val="3E99CB48"/>
    <w:rsid w:val="3E9D5FCC"/>
    <w:rsid w:val="3ECADF08"/>
    <w:rsid w:val="3FD00E91"/>
    <w:rsid w:val="3FE57AD3"/>
    <w:rsid w:val="400C9F9D"/>
    <w:rsid w:val="4053906B"/>
    <w:rsid w:val="40C55E80"/>
    <w:rsid w:val="40CA41DC"/>
    <w:rsid w:val="4124CAE8"/>
    <w:rsid w:val="41371B0E"/>
    <w:rsid w:val="41BAFADB"/>
    <w:rsid w:val="41D56B59"/>
    <w:rsid w:val="41E40230"/>
    <w:rsid w:val="41EB7169"/>
    <w:rsid w:val="4257EB4B"/>
    <w:rsid w:val="42DF0615"/>
    <w:rsid w:val="433956B4"/>
    <w:rsid w:val="44452910"/>
    <w:rsid w:val="44C6C66B"/>
    <w:rsid w:val="45506867"/>
    <w:rsid w:val="45C547D9"/>
    <w:rsid w:val="467A702A"/>
    <w:rsid w:val="46B79B5D"/>
    <w:rsid w:val="47205C19"/>
    <w:rsid w:val="47B2CCA3"/>
    <w:rsid w:val="480CC7D7"/>
    <w:rsid w:val="487B7D76"/>
    <w:rsid w:val="4894EDFF"/>
    <w:rsid w:val="48E9CA5F"/>
    <w:rsid w:val="4960774B"/>
    <w:rsid w:val="497C322E"/>
    <w:rsid w:val="49E69633"/>
    <w:rsid w:val="4A1323C9"/>
    <w:rsid w:val="4A301306"/>
    <w:rsid w:val="4AD2B7AE"/>
    <w:rsid w:val="4CB25E5E"/>
    <w:rsid w:val="4CB64C4E"/>
    <w:rsid w:val="4CDDD7AC"/>
    <w:rsid w:val="4CF77990"/>
    <w:rsid w:val="4D4AC48B"/>
    <w:rsid w:val="4DEC5CBF"/>
    <w:rsid w:val="4E4CC4F0"/>
    <w:rsid w:val="4E6F6FEC"/>
    <w:rsid w:val="4F25B46A"/>
    <w:rsid w:val="4F699094"/>
    <w:rsid w:val="4FDF6A4C"/>
    <w:rsid w:val="50126D89"/>
    <w:rsid w:val="501FB3EB"/>
    <w:rsid w:val="50384C11"/>
    <w:rsid w:val="5055D7D6"/>
    <w:rsid w:val="508F3F52"/>
    <w:rsid w:val="50A156DD"/>
    <w:rsid w:val="50F92EB5"/>
    <w:rsid w:val="520969CA"/>
    <w:rsid w:val="52615CD7"/>
    <w:rsid w:val="527F3012"/>
    <w:rsid w:val="5309EC17"/>
    <w:rsid w:val="53B1945B"/>
    <w:rsid w:val="54AC743F"/>
    <w:rsid w:val="552A6478"/>
    <w:rsid w:val="55307419"/>
    <w:rsid w:val="555831DC"/>
    <w:rsid w:val="558C72EE"/>
    <w:rsid w:val="565D2E94"/>
    <w:rsid w:val="568CEC13"/>
    <w:rsid w:val="575F4AA5"/>
    <w:rsid w:val="5788AE22"/>
    <w:rsid w:val="57DD5D3A"/>
    <w:rsid w:val="57F8FEF5"/>
    <w:rsid w:val="58671942"/>
    <w:rsid w:val="588FD29E"/>
    <w:rsid w:val="592A1C42"/>
    <w:rsid w:val="595F7AFB"/>
    <w:rsid w:val="5994CF56"/>
    <w:rsid w:val="59B9767D"/>
    <w:rsid w:val="59F140F3"/>
    <w:rsid w:val="5A995698"/>
    <w:rsid w:val="5B4F8EFF"/>
    <w:rsid w:val="5C1FD0E7"/>
    <w:rsid w:val="5CB5C4B6"/>
    <w:rsid w:val="5D56093F"/>
    <w:rsid w:val="5DD0F75A"/>
    <w:rsid w:val="5DE60F8E"/>
    <w:rsid w:val="5DFBA630"/>
    <w:rsid w:val="5E0D3775"/>
    <w:rsid w:val="5E3AB1F5"/>
    <w:rsid w:val="5F33CA45"/>
    <w:rsid w:val="5F6CC7BB"/>
    <w:rsid w:val="5F7E057A"/>
    <w:rsid w:val="605902CA"/>
    <w:rsid w:val="6085C347"/>
    <w:rsid w:val="60C519E5"/>
    <w:rsid w:val="617323AD"/>
    <w:rsid w:val="617CC7CB"/>
    <w:rsid w:val="6239EC13"/>
    <w:rsid w:val="6260EA46"/>
    <w:rsid w:val="63410812"/>
    <w:rsid w:val="6349D8CD"/>
    <w:rsid w:val="63BEEF02"/>
    <w:rsid w:val="644A8E56"/>
    <w:rsid w:val="644EE0C7"/>
    <w:rsid w:val="646C731D"/>
    <w:rsid w:val="64A81E23"/>
    <w:rsid w:val="64E5A92E"/>
    <w:rsid w:val="6515CD37"/>
    <w:rsid w:val="651E917F"/>
    <w:rsid w:val="65686D22"/>
    <w:rsid w:val="65AA246D"/>
    <w:rsid w:val="66B25ABE"/>
    <w:rsid w:val="67D6FB70"/>
    <w:rsid w:val="6868C5A8"/>
    <w:rsid w:val="68F49F38"/>
    <w:rsid w:val="69428FD3"/>
    <w:rsid w:val="6A236677"/>
    <w:rsid w:val="6A52D3CE"/>
    <w:rsid w:val="6A76DF6D"/>
    <w:rsid w:val="6C215E17"/>
    <w:rsid w:val="6C430460"/>
    <w:rsid w:val="6C5C69E0"/>
    <w:rsid w:val="6CA1235F"/>
    <w:rsid w:val="6CB53EDC"/>
    <w:rsid w:val="6CC40E85"/>
    <w:rsid w:val="6E25193E"/>
    <w:rsid w:val="6E25193E"/>
    <w:rsid w:val="6E30F3B7"/>
    <w:rsid w:val="6E5ECDA4"/>
    <w:rsid w:val="6EDA8A3D"/>
    <w:rsid w:val="6F9839BB"/>
    <w:rsid w:val="6FEFD282"/>
    <w:rsid w:val="6FEFE4E3"/>
    <w:rsid w:val="6FF9FDC2"/>
    <w:rsid w:val="7026EEBD"/>
    <w:rsid w:val="704A270F"/>
    <w:rsid w:val="710B7C27"/>
    <w:rsid w:val="7157CB74"/>
    <w:rsid w:val="7163A1EC"/>
    <w:rsid w:val="7185978E"/>
    <w:rsid w:val="720CB4F4"/>
    <w:rsid w:val="7219536B"/>
    <w:rsid w:val="726A6F7A"/>
    <w:rsid w:val="7271A0A9"/>
    <w:rsid w:val="72A540F3"/>
    <w:rsid w:val="72AF8EE3"/>
    <w:rsid w:val="72B9B6E3"/>
    <w:rsid w:val="72DF23DF"/>
    <w:rsid w:val="72FF7076"/>
    <w:rsid w:val="739FDEBF"/>
    <w:rsid w:val="73F534AC"/>
    <w:rsid w:val="749AD399"/>
    <w:rsid w:val="74A954B0"/>
    <w:rsid w:val="74B1080E"/>
    <w:rsid w:val="7526E531"/>
    <w:rsid w:val="752AD73C"/>
    <w:rsid w:val="7550F42D"/>
    <w:rsid w:val="75C4B713"/>
    <w:rsid w:val="75EF8FEB"/>
    <w:rsid w:val="7607EA7E"/>
    <w:rsid w:val="7619328B"/>
    <w:rsid w:val="77ED4A28"/>
    <w:rsid w:val="785F5BA0"/>
    <w:rsid w:val="7882B192"/>
    <w:rsid w:val="79667E0A"/>
    <w:rsid w:val="797409E7"/>
    <w:rsid w:val="79917CD3"/>
    <w:rsid w:val="79FE85F5"/>
    <w:rsid w:val="7A0EBDD9"/>
    <w:rsid w:val="7B94C73C"/>
    <w:rsid w:val="7BAEE0AB"/>
    <w:rsid w:val="7C0B0F79"/>
    <w:rsid w:val="7C562421"/>
    <w:rsid w:val="7D1CFE5A"/>
    <w:rsid w:val="7D30979D"/>
    <w:rsid w:val="7E0396A6"/>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edgehill.on.worldcat.org/oclc/958479497" TargetMode="External" Id="R6d2b4c09ada745a3" /><Relationship Type="http://schemas.openxmlformats.org/officeDocument/2006/relationships/hyperlink" Target="https://historyattallis.weebly.com/uploads/4/5/7/9/4579542/ascl_history_assessment_guidance.pdf" TargetMode="External" Id="R81bc4f860eaa48c5"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xmlns:wp14="http://schemas.microsoft.com/office/word/2010/wordml" w14:paraId="3B5308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20</revision>
  <lastPrinted>2023-05-18T14:08:00.0000000Z</lastPrinted>
  <dcterms:created xsi:type="dcterms:W3CDTF">2023-11-23T09:09:00.0000000Z</dcterms:created>
  <dcterms:modified xsi:type="dcterms:W3CDTF">2024-03-28T11:29:05.9731940Z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