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461"/>
        <w:gridCol w:w="612"/>
        <w:gridCol w:w="1950"/>
        <w:gridCol w:w="1061"/>
        <w:gridCol w:w="709"/>
        <w:gridCol w:w="688"/>
        <w:gridCol w:w="1297"/>
        <w:gridCol w:w="637"/>
        <w:gridCol w:w="1210"/>
        <w:gridCol w:w="1055"/>
        <w:gridCol w:w="880"/>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3C33D78" w14:textId="77777777" w:rsidR="00DA3C8A"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0E105616" w:rsidR="00BB0205" w:rsidRPr="00523D39" w:rsidRDefault="00966A4C" w:rsidP="00F07217">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38CB4BD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810CFD">
              <w:rPr>
                <w:rFonts w:ascii="Cambria" w:eastAsia="Georgia" w:hAnsi="Cambria" w:cs="Georgia"/>
                <w:b/>
                <w:color w:val="FFFFFF" w:themeColor="background1"/>
                <w:sz w:val="20"/>
                <w:szCs w:val="20"/>
              </w:rPr>
              <w:t>3</w:t>
            </w:r>
            <w:r w:rsidR="00B92274">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3CFF38A"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PGCE SECONDARY SCIENCE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826E343" w:rsidR="004009A7" w:rsidRPr="00523D39" w:rsidRDefault="00810CFD">
            <w:pPr>
              <w:jc w:val="both"/>
              <w:rPr>
                <w:rFonts w:ascii="Cambria" w:hAnsi="Cambria"/>
                <w:b/>
                <w:bCs/>
                <w:sz w:val="20"/>
                <w:szCs w:val="20"/>
              </w:rPr>
            </w:pPr>
            <w:r>
              <w:rPr>
                <w:rFonts w:ascii="Cambria" w:hAnsi="Cambria"/>
                <w:b/>
                <w:bCs/>
                <w:sz w:val="20"/>
                <w:szCs w:val="20"/>
              </w:rPr>
              <w:t xml:space="preserve">Consolidation </w:t>
            </w:r>
            <w:r w:rsidR="006B0AB6">
              <w:rPr>
                <w:rFonts w:ascii="Cambria" w:hAnsi="Cambria"/>
                <w:b/>
                <w:bCs/>
                <w:sz w:val="20"/>
                <w:szCs w:val="20"/>
              </w:rPr>
              <w:t>Placement</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B8011EA" w:rsidR="004009A7" w:rsidRPr="00523D39" w:rsidRDefault="006B0AB6">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5094C9B3" w:rsidR="004009A7" w:rsidRPr="00523D39" w:rsidRDefault="005479C5">
            <w:pPr>
              <w:jc w:val="both"/>
              <w:rPr>
                <w:rFonts w:ascii="Cambria" w:hAnsi="Cambria"/>
                <w:b/>
                <w:bCs/>
                <w:sz w:val="20"/>
                <w:szCs w:val="20"/>
              </w:rPr>
            </w:pPr>
            <w:r>
              <w:rPr>
                <w:rFonts w:ascii="Cambria" w:hAnsi="Cambria"/>
                <w:b/>
                <w:bCs/>
                <w:sz w:val="20"/>
                <w:szCs w:val="20"/>
              </w:rPr>
              <w:t xml:space="preserve">PGCE SECONDARY </w:t>
            </w:r>
            <w:r w:rsidR="009A5B5A">
              <w:rPr>
                <w:rFonts w:ascii="Cambria" w:hAnsi="Cambria"/>
                <w:b/>
                <w:bCs/>
                <w:sz w:val="20"/>
                <w:szCs w:val="20"/>
              </w:rPr>
              <w:t>SCIENCE (11-16)</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5E7F23A" w:rsidR="004009A7" w:rsidRPr="00523D39" w:rsidRDefault="00B92274">
            <w:pPr>
              <w:jc w:val="both"/>
              <w:rPr>
                <w:rFonts w:ascii="Cambria" w:hAnsi="Cambria"/>
                <w:b/>
                <w:bCs/>
                <w:sz w:val="20"/>
                <w:szCs w:val="20"/>
              </w:rPr>
            </w:pPr>
            <w:r>
              <w:rPr>
                <w:rFonts w:ascii="Cambria" w:hAnsi="Cambria"/>
                <w:b/>
                <w:bCs/>
                <w:sz w:val="20"/>
                <w:szCs w:val="20"/>
              </w:rPr>
              <w:t>15</w:t>
            </w:r>
            <w:r w:rsidRPr="00B92274">
              <w:rPr>
                <w:rFonts w:ascii="Cambria" w:hAnsi="Cambria"/>
                <w:b/>
                <w:bCs/>
                <w:sz w:val="20"/>
                <w:szCs w:val="20"/>
                <w:vertAlign w:val="superscript"/>
              </w:rPr>
              <w:t>TH</w:t>
            </w:r>
            <w:r>
              <w:rPr>
                <w:rFonts w:ascii="Cambria" w:hAnsi="Cambria"/>
                <w:b/>
                <w:bCs/>
                <w:sz w:val="20"/>
                <w:szCs w:val="20"/>
              </w:rPr>
              <w:t xml:space="preserve"> APRIL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98156C9"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3B8E89D4"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4DF42518" w14:textId="2A3FE402" w:rsidR="00FD0C65" w:rsidRDefault="00FD0C65" w:rsidP="005113AE">
            <w:pPr>
              <w:jc w:val="center"/>
              <w:rPr>
                <w:rFonts w:ascii="Cambria" w:hAnsi="Cambria"/>
                <w:b/>
                <w:bCs/>
                <w:sz w:val="20"/>
                <w:szCs w:val="20"/>
              </w:rPr>
            </w:pPr>
            <w:r>
              <w:rPr>
                <w:rFonts w:ascii="Cambria" w:hAnsi="Cambria"/>
                <w:b/>
                <w:bCs/>
                <w:sz w:val="20"/>
                <w:szCs w:val="20"/>
              </w:rPr>
              <w:t>/</w:t>
            </w:r>
          </w:p>
          <w:p w14:paraId="6F839360" w14:textId="53EB4F17" w:rsidR="006B0AB6" w:rsidRPr="00523D39" w:rsidRDefault="006B0AB6" w:rsidP="005113AE">
            <w:pPr>
              <w:jc w:val="center"/>
              <w:rPr>
                <w:rFonts w:ascii="Cambria" w:hAnsi="Cambria"/>
                <w:b/>
                <w:bCs/>
                <w:sz w:val="20"/>
                <w:szCs w:val="20"/>
              </w:rPr>
            </w:pP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514D9D7" w14:textId="3EDF06E5" w:rsidR="00872478" w:rsidRDefault="00F45E23" w:rsidP="00872478">
            <w:pPr>
              <w:pStyle w:val="NormalWeb"/>
              <w:rPr>
                <w:rFonts w:ascii="Cambria" w:hAnsi="Cambria" w:cstheme="minorHAnsi"/>
                <w:b/>
                <w:bCs/>
                <w:sz w:val="20"/>
                <w:szCs w:val="20"/>
              </w:rPr>
            </w:pPr>
            <w:r w:rsidRPr="00523D39">
              <w:rPr>
                <w:rFonts w:ascii="Cambria" w:hAnsi="Cambria" w:cstheme="minorHAnsi"/>
                <w:b/>
                <w:bCs/>
                <w:sz w:val="20"/>
                <w:szCs w:val="20"/>
              </w:rPr>
              <w:t>Summary</w:t>
            </w:r>
            <w:r w:rsidR="00157999">
              <w:rPr>
                <w:rFonts w:ascii="Cambria" w:hAnsi="Cambria" w:cstheme="minorHAnsi"/>
                <w:b/>
                <w:bCs/>
                <w:sz w:val="20"/>
                <w:szCs w:val="20"/>
              </w:rPr>
              <w:t>:</w:t>
            </w:r>
          </w:p>
          <w:p w14:paraId="7725F4CB" w14:textId="6AD37232" w:rsidR="009404E7" w:rsidRPr="009404E7" w:rsidRDefault="009404E7" w:rsidP="00872478">
            <w:pPr>
              <w:pStyle w:val="NormalWeb"/>
              <w:rPr>
                <w:rFonts w:ascii="Cambria" w:hAnsi="Cambria" w:cstheme="minorHAnsi"/>
              </w:rPr>
            </w:pPr>
            <w:r w:rsidRPr="009404E7">
              <w:rPr>
                <w:rFonts w:ascii="Cambria" w:hAnsi="Cambria" w:cstheme="minorHAnsi"/>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14:paraId="4A95E648" w14:textId="77777777" w:rsidR="00872478" w:rsidRDefault="00F45E23" w:rsidP="00872478">
            <w:pPr>
              <w:pStyle w:val="NormalWeb"/>
              <w:rPr>
                <w:rFonts w:ascii="Cambria" w:hAnsi="Cambria" w:cstheme="minorHAnsi"/>
                <w:b/>
                <w:bCs/>
                <w:sz w:val="20"/>
                <w:szCs w:val="20"/>
              </w:rPr>
            </w:pPr>
            <w:r w:rsidRPr="00523D39">
              <w:rPr>
                <w:rFonts w:ascii="Cambria" w:hAnsi="Cambria" w:cstheme="minorHAnsi"/>
                <w:b/>
                <w:bCs/>
                <w:sz w:val="20"/>
                <w:szCs w:val="20"/>
              </w:rPr>
              <w:t>Limitations:</w:t>
            </w:r>
            <w:r w:rsidR="00157999">
              <w:rPr>
                <w:rFonts w:ascii="Cambria" w:hAnsi="Cambria" w:cstheme="minorHAnsi"/>
                <w:b/>
                <w:bCs/>
                <w:sz w:val="20"/>
                <w:szCs w:val="20"/>
              </w:rPr>
              <w:t xml:space="preserve"> </w:t>
            </w:r>
          </w:p>
          <w:p w14:paraId="05948E25" w14:textId="4901E410" w:rsidR="009404E7" w:rsidRPr="009404E7" w:rsidRDefault="009404E7" w:rsidP="00872478">
            <w:pPr>
              <w:pStyle w:val="NormalWeb"/>
              <w:rPr>
                <w:rFonts w:ascii="Cambria" w:hAnsi="Cambria" w:cstheme="minorHAnsi"/>
              </w:rPr>
            </w:pPr>
            <w:r w:rsidRPr="009404E7">
              <w:rPr>
                <w:rFonts w:ascii="Cambria" w:hAnsi="Cambria" w:cstheme="minorHAnsi"/>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p w14:paraId="76775253" w14:textId="6E897D0D" w:rsidR="00B21622" w:rsidRDefault="00F45E23" w:rsidP="00872478">
            <w:pPr>
              <w:spacing w:after="160" w:line="259" w:lineRule="auto"/>
              <w:rPr>
                <w:rFonts w:eastAsia="Times New Roman"/>
              </w:rPr>
            </w:pPr>
            <w:r w:rsidRPr="00523D39">
              <w:rPr>
                <w:rFonts w:ascii="Cambria" w:hAnsi="Cambria" w:cstheme="minorHAnsi"/>
                <w:b/>
                <w:bCs/>
                <w:sz w:val="20"/>
                <w:szCs w:val="20"/>
              </w:rPr>
              <w:t>Reference</w:t>
            </w:r>
            <w:r w:rsidR="00157999">
              <w:rPr>
                <w:rFonts w:ascii="Cambria" w:hAnsi="Cambria" w:cstheme="minorHAnsi"/>
                <w:b/>
                <w:bCs/>
                <w:sz w:val="20"/>
                <w:szCs w:val="20"/>
              </w:rPr>
              <w:t>:</w:t>
            </w:r>
            <w:r w:rsidR="00DA3C8A">
              <w:rPr>
                <w:rFonts w:ascii="Cambria" w:hAnsi="Cambria" w:cstheme="minorHAnsi"/>
                <w:b/>
                <w:bCs/>
                <w:sz w:val="20"/>
                <w:szCs w:val="20"/>
              </w:rPr>
              <w:t xml:space="preserve"> </w:t>
            </w:r>
            <w:r w:rsidR="00157999">
              <w:rPr>
                <w:rFonts w:ascii="Cambria" w:hAnsi="Cambria" w:cstheme="minorHAnsi"/>
                <w:b/>
                <w:bCs/>
                <w:sz w:val="20"/>
                <w:szCs w:val="20"/>
              </w:rPr>
              <w:t xml:space="preserve"> </w:t>
            </w:r>
          </w:p>
          <w:p w14:paraId="3F902D7D" w14:textId="32FEB520" w:rsidR="009404E7" w:rsidRPr="009404E7" w:rsidRDefault="009404E7" w:rsidP="009404E7">
            <w:pPr>
              <w:rPr>
                <w:color w:val="auto"/>
              </w:rPr>
            </w:pPr>
            <w:r w:rsidRPr="009404E7">
              <w:rPr>
                <w:sz w:val="24"/>
                <w:szCs w:val="24"/>
              </w:rPr>
              <w:t>Christodoulou, D. (2017)</w:t>
            </w:r>
            <w:r>
              <w:rPr>
                <w:sz w:val="24"/>
                <w:szCs w:val="24"/>
              </w:rPr>
              <w:t>.</w:t>
            </w:r>
            <w:r w:rsidRPr="009404E7">
              <w:rPr>
                <w:sz w:val="24"/>
                <w:szCs w:val="24"/>
              </w:rPr>
              <w:t xml:space="preserve"> </w:t>
            </w:r>
            <w:r w:rsidRPr="009404E7">
              <w:rPr>
                <w:i/>
                <w:iCs/>
                <w:sz w:val="24"/>
                <w:szCs w:val="24"/>
              </w:rPr>
              <w:t>Making Good Progress: The Future of Assessment for Learning</w:t>
            </w:r>
            <w:r w:rsidRPr="009404E7">
              <w:rPr>
                <w:sz w:val="24"/>
                <w:szCs w:val="24"/>
              </w:rPr>
              <w:t>. Oxford: OUP. [chapters 6-8] </w:t>
            </w:r>
          </w:p>
          <w:p w14:paraId="192DFA3E" w14:textId="77777777" w:rsidR="009404E7" w:rsidRPr="009404E7" w:rsidRDefault="00000000" w:rsidP="009404E7">
            <w:pPr>
              <w:rPr>
                <w:color w:val="auto"/>
              </w:rPr>
            </w:pPr>
            <w:hyperlink r:id="rId11" w:tgtFrame="_blank" w:tooltip="Original URL: https://edgehill.on.worldcat.org/oclc/958479497. Click or tap if you trust this link." w:history="1">
              <w:r w:rsidR="009404E7" w:rsidRPr="009404E7">
                <w:rPr>
                  <w:color w:val="0000FF"/>
                  <w:sz w:val="24"/>
                  <w:szCs w:val="24"/>
                  <w:u w:val="single"/>
                </w:rPr>
                <w:t>https://edgehill.on.worldcat.org/oclc/958479497</w:t>
              </w:r>
            </w:hyperlink>
          </w:p>
          <w:p w14:paraId="6071F449" w14:textId="3E446BB2" w:rsidR="00872478" w:rsidRPr="00E02523" w:rsidRDefault="00872478" w:rsidP="00872478">
            <w:pPr>
              <w:spacing w:after="160" w:line="259" w:lineRule="auto"/>
              <w:rPr>
                <w:color w:val="0000FF"/>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657BE36" w14:textId="75EB9C4C" w:rsidR="00C463A4" w:rsidRPr="00C463A4" w:rsidRDefault="00C463A4" w:rsidP="00C463A4">
            <w:pPr>
              <w:pStyle w:val="xmsolistparagraph"/>
              <w:numPr>
                <w:ilvl w:val="0"/>
                <w:numId w:val="12"/>
              </w:numPr>
              <w:shd w:val="clear" w:color="auto" w:fill="FFFFFF"/>
              <w:spacing w:before="0" w:beforeAutospacing="0" w:after="0" w:afterAutospacing="0"/>
              <w:rPr>
                <w:rFonts w:ascii="Georgia" w:hAnsi="Georgia" w:cs="Calibri"/>
                <w:color w:val="201F1E"/>
              </w:rPr>
            </w:pPr>
            <w:r>
              <w:rPr>
                <w:rFonts w:ascii="Georgia" w:hAnsi="Georgia"/>
                <w:iCs/>
                <w:color w:val="201F1E"/>
              </w:rPr>
              <w:t>A short video clip on AfL (Formative Assessment) from Dylan William.</w:t>
            </w:r>
          </w:p>
          <w:p w14:paraId="0F28D345" w14:textId="77777777" w:rsidR="00C463A4" w:rsidRPr="000A52D8" w:rsidRDefault="00C463A4" w:rsidP="00C463A4">
            <w:pPr>
              <w:pStyle w:val="xmsolistparagraph"/>
              <w:numPr>
                <w:ilvl w:val="0"/>
                <w:numId w:val="12"/>
              </w:numPr>
              <w:shd w:val="clear" w:color="auto" w:fill="FFFFFF"/>
              <w:spacing w:before="0" w:beforeAutospacing="0" w:after="0" w:afterAutospacing="0"/>
              <w:rPr>
                <w:rFonts w:ascii="Georgia" w:hAnsi="Georgia" w:cs="Calibri"/>
                <w:color w:val="201F1E"/>
              </w:rPr>
            </w:pPr>
            <w:r>
              <w:rPr>
                <w:rFonts w:ascii="Georgia" w:hAnsi="Georgia"/>
                <w:color w:val="201F1E"/>
              </w:rPr>
              <w:t>What do we mean by Assessment for Learning (Formative Assessment)?</w:t>
            </w:r>
          </w:p>
          <w:p w14:paraId="2C3DB3A4" w14:textId="77777777" w:rsidR="00C463A4" w:rsidRDefault="00000000" w:rsidP="00C463A4">
            <w:pPr>
              <w:pStyle w:val="xmsolistparagraph"/>
              <w:numPr>
                <w:ilvl w:val="0"/>
                <w:numId w:val="12"/>
              </w:numPr>
              <w:shd w:val="clear" w:color="auto" w:fill="FFFFFF"/>
              <w:spacing w:before="0" w:beforeAutospacing="0" w:after="0" w:afterAutospacing="0"/>
              <w:rPr>
                <w:rFonts w:ascii="Georgia" w:hAnsi="Georgia" w:cs="Calibri"/>
                <w:color w:val="201F1E"/>
              </w:rPr>
            </w:pPr>
            <w:hyperlink r:id="rId13" w:history="1">
              <w:r w:rsidR="00C463A4" w:rsidRPr="00720AA6">
                <w:rPr>
                  <w:rStyle w:val="Hyperlink"/>
                  <w:rFonts w:ascii="Georgia" w:hAnsi="Georgia" w:cs="Calibri"/>
                </w:rPr>
                <w:t>https://www.youtube.com/watch?v=q-myBw36_DA</w:t>
              </w:r>
            </w:hyperlink>
          </w:p>
          <w:p w14:paraId="05E12B7D" w14:textId="77777777" w:rsidR="00615BB7" w:rsidRDefault="00615BB7" w:rsidP="00B5000E">
            <w:pPr>
              <w:pStyle w:val="xmsolistparagraph"/>
              <w:shd w:val="clear" w:color="auto" w:fill="FFFFFF"/>
              <w:spacing w:before="0" w:beforeAutospacing="0" w:after="0" w:afterAutospacing="0"/>
              <w:rPr>
                <w:rFonts w:ascii="Cambria" w:hAnsi="Cambria" w:cs="Calibri"/>
                <w:color w:val="201F1E"/>
                <w:sz w:val="20"/>
                <w:szCs w:val="20"/>
              </w:rPr>
            </w:pPr>
          </w:p>
          <w:p w14:paraId="0D44AE06" w14:textId="4722EED5" w:rsidR="004D1B62" w:rsidRDefault="004D1B62" w:rsidP="004D1B62">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The link below is on Assessment for Learning (AfL): taken from an essential book on the reading list of the PGCE Secondary Science course: </w:t>
            </w:r>
            <w:r w:rsidRPr="001D5A16">
              <w:rPr>
                <w:rFonts w:ascii="Georgia" w:hAnsi="Georgia" w:cs="Calibri"/>
                <w:i/>
                <w:iCs/>
                <w:color w:val="201F1E"/>
              </w:rPr>
              <w:t>Teaching Secondary Science – Constructing Meaning and Developing Understanding</w:t>
            </w:r>
            <w:r>
              <w:rPr>
                <w:rFonts w:ascii="Georgia" w:hAnsi="Georgia" w:cs="Calibri"/>
                <w:color w:val="201F1E"/>
              </w:rPr>
              <w:t xml:space="preserve"> by Ross et al (2015). </w:t>
            </w:r>
          </w:p>
          <w:p w14:paraId="1ED4DCEC" w14:textId="77777777" w:rsidR="004D1B62" w:rsidRDefault="00000000" w:rsidP="004D1B62">
            <w:pPr>
              <w:pStyle w:val="xmsolistparagraph"/>
              <w:shd w:val="clear" w:color="auto" w:fill="FFFFFF"/>
              <w:spacing w:before="0" w:beforeAutospacing="0" w:after="0" w:afterAutospacing="0"/>
              <w:rPr>
                <w:rFonts w:ascii="Georgia" w:hAnsi="Georgia" w:cs="Calibri"/>
                <w:color w:val="201F1E"/>
              </w:rPr>
            </w:pPr>
            <w:hyperlink r:id="rId14" w:history="1">
              <w:r w:rsidR="004D1B62" w:rsidRPr="002A3EB6">
                <w:rPr>
                  <w:rStyle w:val="Hyperlink"/>
                  <w:rFonts w:ascii="Georgia" w:hAnsi="Georgia" w:cs="Calibri"/>
                </w:rPr>
                <w:t>https://drive.google.com/file/d/1jl7fcSPlF2uh2Z7nix4xXfEZYEkH5jxF/view?usp=share_link</w:t>
              </w:r>
            </w:hyperlink>
          </w:p>
          <w:p w14:paraId="672BFACF" w14:textId="77777777" w:rsidR="004D1B62" w:rsidRDefault="004D1B62" w:rsidP="004D1B62">
            <w:pPr>
              <w:pStyle w:val="xmsolistparagraph"/>
              <w:shd w:val="clear" w:color="auto" w:fill="FFFFFF"/>
              <w:spacing w:before="0" w:beforeAutospacing="0" w:after="0" w:afterAutospacing="0"/>
              <w:rPr>
                <w:rFonts w:ascii="Georgia" w:hAnsi="Georgia" w:cs="Calibri"/>
                <w:color w:val="201F1E"/>
              </w:rPr>
            </w:pPr>
          </w:p>
          <w:p w14:paraId="4420E875" w14:textId="77777777" w:rsidR="00615BB7" w:rsidRDefault="00615BB7" w:rsidP="00B5000E">
            <w:pPr>
              <w:pStyle w:val="xmsolistparagraph"/>
              <w:shd w:val="clear" w:color="auto" w:fill="FFFFFF"/>
              <w:spacing w:before="0" w:beforeAutospacing="0" w:after="0" w:afterAutospacing="0"/>
              <w:rPr>
                <w:rFonts w:ascii="Cambria" w:hAnsi="Cambria" w:cs="Calibri"/>
                <w:color w:val="201F1E"/>
                <w:sz w:val="20"/>
                <w:szCs w:val="20"/>
              </w:rPr>
            </w:pPr>
          </w:p>
          <w:p w14:paraId="5B2D88F7" w14:textId="77777777" w:rsidR="00DA3C8A" w:rsidRPr="00523D39" w:rsidRDefault="00DA3C8A"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72FE491" w14:textId="29A909F0" w:rsidR="00810CFD" w:rsidRPr="00810CFD" w:rsidRDefault="00810CFD" w:rsidP="00B92274">
            <w:pPr>
              <w:pStyle w:val="Default"/>
              <w:rPr>
                <w:rFonts w:ascii="Cambria" w:hAnsi="Cambria"/>
                <w:sz w:val="20"/>
                <w:szCs w:val="20"/>
                <w:shd w:val="clear" w:color="auto" w:fill="FFFFFF"/>
              </w:rPr>
            </w:pPr>
          </w:p>
          <w:p w14:paraId="6DC95B76" w14:textId="77777777" w:rsidR="00B92274" w:rsidRPr="00B92274" w:rsidRDefault="00B92274" w:rsidP="00B92274">
            <w:pPr>
              <w:pStyle w:val="Default"/>
              <w:numPr>
                <w:ilvl w:val="0"/>
                <w:numId w:val="10"/>
              </w:numPr>
              <w:rPr>
                <w:rFonts w:ascii="Cambria" w:hAnsi="Cambria"/>
                <w:sz w:val="20"/>
                <w:szCs w:val="20"/>
                <w:shd w:val="clear" w:color="auto" w:fill="FFFFFF"/>
              </w:rPr>
            </w:pPr>
            <w:r w:rsidRPr="00B92274">
              <w:rPr>
                <w:rFonts w:ascii="Cambria" w:hAnsi="Cambria"/>
                <w:sz w:val="20"/>
                <w:szCs w:val="20"/>
                <w:shd w:val="clear" w:color="auto" w:fill="FFFFFF"/>
              </w:rPr>
              <w:t>Effective assessment is critical to teaching because it provides teachers with information about pupils’ understanding and needs.</w:t>
            </w:r>
          </w:p>
          <w:p w14:paraId="227FF18E" w14:textId="77777777" w:rsidR="00B92274" w:rsidRPr="00B92274" w:rsidRDefault="00B92274" w:rsidP="00B92274">
            <w:pPr>
              <w:pStyle w:val="Default"/>
              <w:rPr>
                <w:rFonts w:ascii="Cambria" w:hAnsi="Cambria"/>
                <w:sz w:val="20"/>
                <w:szCs w:val="20"/>
                <w:shd w:val="clear" w:color="auto" w:fill="FFFFFF"/>
              </w:rPr>
            </w:pPr>
          </w:p>
          <w:p w14:paraId="60C6A4F8" w14:textId="6D599602" w:rsidR="00B92274" w:rsidRPr="00B92274" w:rsidRDefault="00B92274" w:rsidP="00B92274">
            <w:pPr>
              <w:pStyle w:val="Default"/>
              <w:numPr>
                <w:ilvl w:val="0"/>
                <w:numId w:val="10"/>
              </w:numPr>
              <w:rPr>
                <w:rFonts w:ascii="Cambria" w:hAnsi="Cambria"/>
                <w:sz w:val="20"/>
                <w:szCs w:val="20"/>
                <w:shd w:val="clear" w:color="auto" w:fill="FFFFFF"/>
              </w:rPr>
            </w:pPr>
            <w:r w:rsidRPr="00B92274">
              <w:rPr>
                <w:rFonts w:ascii="Cambria" w:hAnsi="Cambria"/>
                <w:sz w:val="20"/>
                <w:szCs w:val="20"/>
                <w:shd w:val="clear" w:color="auto" w:fill="FFFFFF"/>
              </w:rPr>
              <w:t>Good assessment helps teachers avoid being over-influenced by potentially misleading factors, such as how busy pupils appear.</w:t>
            </w:r>
          </w:p>
          <w:p w14:paraId="60B0A9F1" w14:textId="77777777" w:rsidR="00B92274" w:rsidRPr="00B92274" w:rsidRDefault="00B92274" w:rsidP="00B92274">
            <w:pPr>
              <w:pStyle w:val="Default"/>
              <w:rPr>
                <w:rFonts w:ascii="Cambria" w:hAnsi="Cambria"/>
                <w:sz w:val="20"/>
                <w:szCs w:val="20"/>
                <w:shd w:val="clear" w:color="auto" w:fill="FFFFFF"/>
              </w:rPr>
            </w:pPr>
          </w:p>
          <w:p w14:paraId="3FB39589" w14:textId="506209CB" w:rsidR="00B92274" w:rsidRPr="00B92274" w:rsidRDefault="00B92274" w:rsidP="00B92274">
            <w:pPr>
              <w:pStyle w:val="Default"/>
              <w:numPr>
                <w:ilvl w:val="0"/>
                <w:numId w:val="10"/>
              </w:numPr>
              <w:jc w:val="both"/>
              <w:rPr>
                <w:rFonts w:ascii="Cambria" w:hAnsi="Cambria"/>
                <w:sz w:val="20"/>
                <w:szCs w:val="20"/>
                <w:shd w:val="clear" w:color="auto" w:fill="FFFFFF"/>
              </w:rPr>
            </w:pPr>
            <w:r w:rsidRPr="00B92274">
              <w:rPr>
                <w:rFonts w:ascii="Cambria" w:hAnsi="Cambria"/>
                <w:sz w:val="20"/>
                <w:szCs w:val="20"/>
                <w:shd w:val="clear" w:color="auto" w:fill="FFFFFF"/>
              </w:rPr>
              <w:t>Before using any assessment, teachers should be clear about the decision it will be used to support and be able to justify its use.</w:t>
            </w:r>
          </w:p>
          <w:p w14:paraId="320017DC" w14:textId="77777777" w:rsidR="00B92274" w:rsidRPr="00B92274" w:rsidRDefault="00B92274" w:rsidP="00B92274">
            <w:pPr>
              <w:pStyle w:val="Default"/>
              <w:rPr>
                <w:rFonts w:ascii="Cambria" w:hAnsi="Cambria"/>
                <w:sz w:val="20"/>
                <w:szCs w:val="20"/>
                <w:shd w:val="clear" w:color="auto" w:fill="FFFFFF"/>
              </w:rPr>
            </w:pPr>
          </w:p>
          <w:p w14:paraId="758C12DA" w14:textId="0353CE4F" w:rsidR="00810CFD" w:rsidRPr="00B92274" w:rsidRDefault="00B92274" w:rsidP="00B92274">
            <w:pPr>
              <w:pStyle w:val="Default"/>
              <w:numPr>
                <w:ilvl w:val="0"/>
                <w:numId w:val="10"/>
              </w:numPr>
              <w:rPr>
                <w:rFonts w:ascii="Cambria" w:hAnsi="Cambria"/>
                <w:sz w:val="20"/>
                <w:szCs w:val="20"/>
                <w:shd w:val="clear" w:color="auto" w:fill="FFFFFF"/>
              </w:rPr>
            </w:pPr>
            <w:r w:rsidRPr="00B92274">
              <w:rPr>
                <w:rFonts w:ascii="Cambria" w:hAnsi="Cambria"/>
                <w:sz w:val="20"/>
                <w:szCs w:val="20"/>
                <w:shd w:val="clear" w:color="auto" w:fill="FFFFFF"/>
              </w:rPr>
              <w:t>Include a range of types of questions in class discussions to extend and challenge pupils (e.g., by modelling new vocabulary or asking pupils to justify answers).</w:t>
            </w:r>
          </w:p>
          <w:p w14:paraId="34AEDF20" w14:textId="77777777" w:rsidR="00810CFD" w:rsidRDefault="00810CFD" w:rsidP="00810CFD">
            <w:pPr>
              <w:pStyle w:val="Default"/>
              <w:rPr>
                <w:rFonts w:ascii="Cambria" w:hAnsi="Cambria"/>
                <w:b/>
                <w:bCs/>
                <w:sz w:val="20"/>
                <w:szCs w:val="20"/>
                <w:shd w:val="clear" w:color="auto" w:fill="FFFFFF"/>
              </w:rPr>
            </w:pPr>
          </w:p>
          <w:p w14:paraId="08C4275A" w14:textId="7B511770" w:rsidR="00B92274" w:rsidRPr="00B92274" w:rsidRDefault="00B92274" w:rsidP="00B92274">
            <w:pPr>
              <w:pStyle w:val="Default"/>
              <w:numPr>
                <w:ilvl w:val="0"/>
                <w:numId w:val="10"/>
              </w:numPr>
              <w:rPr>
                <w:rFonts w:ascii="Cambria" w:hAnsi="Cambria"/>
                <w:sz w:val="20"/>
                <w:szCs w:val="20"/>
                <w:shd w:val="clear" w:color="auto" w:fill="FFFFFF"/>
              </w:rPr>
            </w:pPr>
            <w:r>
              <w:rPr>
                <w:rFonts w:ascii="Cambria" w:hAnsi="Cambria"/>
                <w:sz w:val="20"/>
                <w:szCs w:val="20"/>
                <w:shd w:val="clear" w:color="auto" w:fill="FFFFFF"/>
              </w:rPr>
              <w:t>T</w:t>
            </w:r>
            <w:r w:rsidRPr="00B92274">
              <w:rPr>
                <w:rFonts w:ascii="Cambria" w:hAnsi="Cambria"/>
                <w:sz w:val="20"/>
                <w:szCs w:val="20"/>
                <w:shd w:val="clear" w:color="auto" w:fill="FFFFFF"/>
              </w:rPr>
              <w:t xml:space="preserve">he assessment structures in place for </w:t>
            </w:r>
            <w:r>
              <w:rPr>
                <w:rFonts w:ascii="Cambria" w:hAnsi="Cambria"/>
                <w:sz w:val="20"/>
                <w:szCs w:val="20"/>
                <w:shd w:val="clear" w:color="auto" w:fill="FFFFFF"/>
              </w:rPr>
              <w:t xml:space="preserve">the </w:t>
            </w:r>
            <w:r w:rsidRPr="00B92274">
              <w:rPr>
                <w:rFonts w:ascii="Cambria" w:hAnsi="Cambria"/>
                <w:sz w:val="20"/>
                <w:szCs w:val="20"/>
                <w:shd w:val="clear" w:color="auto" w:fill="FFFFFF"/>
              </w:rPr>
              <w:t>GCSE Science</w:t>
            </w:r>
            <w:r>
              <w:rPr>
                <w:rFonts w:ascii="Cambria" w:hAnsi="Cambria"/>
                <w:sz w:val="20"/>
                <w:szCs w:val="20"/>
                <w:shd w:val="clear" w:color="auto" w:fill="FFFFFF"/>
              </w:rPr>
              <w:t xml:space="preserve"> course.</w:t>
            </w:r>
          </w:p>
          <w:p w14:paraId="75F93B72" w14:textId="77777777" w:rsidR="00B92274" w:rsidRPr="00B92274" w:rsidRDefault="00B92274" w:rsidP="00B92274">
            <w:pPr>
              <w:pStyle w:val="Default"/>
              <w:rPr>
                <w:rFonts w:ascii="Cambria" w:hAnsi="Cambria"/>
                <w:b/>
                <w:bCs/>
                <w:sz w:val="20"/>
                <w:szCs w:val="20"/>
                <w:shd w:val="clear" w:color="auto" w:fill="FFFFFF"/>
              </w:rPr>
            </w:pPr>
          </w:p>
          <w:p w14:paraId="6E5197CD" w14:textId="77777777" w:rsidR="00810CFD" w:rsidRDefault="00810CFD" w:rsidP="00810CFD">
            <w:pPr>
              <w:pStyle w:val="Default"/>
              <w:rPr>
                <w:rFonts w:ascii="Cambria" w:hAnsi="Cambria"/>
                <w:b/>
                <w:bCs/>
                <w:sz w:val="20"/>
                <w:szCs w:val="20"/>
                <w:shd w:val="clear" w:color="auto" w:fill="FFFFFF"/>
              </w:rPr>
            </w:pPr>
          </w:p>
          <w:p w14:paraId="7A422CD5" w14:textId="77777777" w:rsidR="00810CFD" w:rsidRDefault="00810CFD" w:rsidP="00810CFD">
            <w:pPr>
              <w:pStyle w:val="Default"/>
              <w:rPr>
                <w:rFonts w:ascii="Cambria" w:hAnsi="Cambria"/>
                <w:b/>
                <w:bCs/>
                <w:sz w:val="20"/>
                <w:szCs w:val="20"/>
                <w:shd w:val="clear" w:color="auto" w:fill="FFFFFF"/>
              </w:rPr>
            </w:pPr>
          </w:p>
          <w:p w14:paraId="4E488AE5" w14:textId="7BE2551A" w:rsidR="00810CFD" w:rsidRPr="00523D39" w:rsidRDefault="00810CFD" w:rsidP="00810CFD">
            <w:pPr>
              <w:pStyle w:val="Default"/>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E3305EA" w14:textId="58A14361" w:rsidR="00B92274" w:rsidRPr="00B92274" w:rsidRDefault="00B92274" w:rsidP="00B92274">
            <w:pPr>
              <w:pStyle w:val="Default"/>
              <w:numPr>
                <w:ilvl w:val="0"/>
                <w:numId w:val="11"/>
              </w:numPr>
              <w:rPr>
                <w:rFonts w:ascii="Cambria" w:hAnsi="Cambria"/>
                <w:sz w:val="20"/>
                <w:szCs w:val="20"/>
              </w:rPr>
            </w:pPr>
            <w:r w:rsidRPr="00B92274">
              <w:rPr>
                <w:rFonts w:ascii="Cambria" w:hAnsi="Cambria"/>
                <w:sz w:val="20"/>
                <w:szCs w:val="20"/>
              </w:rPr>
              <w:t>Plan formative assessment tasks linked to lesson objectives and how to think ahead about what would indicate understanding (e.g., using hinge questions) and monitor pupil work during lessons, including checking for misconceptions.</w:t>
            </w:r>
          </w:p>
          <w:p w14:paraId="0FF96B4E" w14:textId="77777777" w:rsidR="00B92274" w:rsidRPr="00B92274" w:rsidRDefault="00B92274" w:rsidP="00B92274">
            <w:pPr>
              <w:pStyle w:val="Default"/>
              <w:ind w:left="720"/>
              <w:rPr>
                <w:rFonts w:ascii="Cambria" w:hAnsi="Cambria"/>
                <w:sz w:val="20"/>
                <w:szCs w:val="20"/>
              </w:rPr>
            </w:pPr>
          </w:p>
          <w:p w14:paraId="0676DF4B" w14:textId="27421D82" w:rsidR="00B92274" w:rsidRPr="00B92274" w:rsidRDefault="00B92274" w:rsidP="00B92274">
            <w:pPr>
              <w:pStyle w:val="Default"/>
              <w:numPr>
                <w:ilvl w:val="0"/>
                <w:numId w:val="11"/>
              </w:numPr>
              <w:rPr>
                <w:rFonts w:ascii="Cambria" w:hAnsi="Cambria"/>
                <w:sz w:val="20"/>
                <w:szCs w:val="20"/>
              </w:rPr>
            </w:pPr>
            <w:r w:rsidRPr="00B92274">
              <w:rPr>
                <w:rFonts w:ascii="Cambria" w:hAnsi="Cambria"/>
                <w:sz w:val="20"/>
                <w:szCs w:val="20"/>
              </w:rPr>
              <w:t>Structure assessment tasks to check for prior knowledge, knowledge gaps, and pre-existing misconceptions.</w:t>
            </w:r>
          </w:p>
          <w:p w14:paraId="1773C162" w14:textId="77777777" w:rsidR="00B92274" w:rsidRPr="00B92274" w:rsidRDefault="00B92274" w:rsidP="00B92274">
            <w:pPr>
              <w:pStyle w:val="Default"/>
              <w:ind w:left="720"/>
              <w:rPr>
                <w:rFonts w:ascii="Cambria" w:hAnsi="Cambria"/>
                <w:sz w:val="20"/>
                <w:szCs w:val="20"/>
              </w:rPr>
            </w:pPr>
          </w:p>
          <w:p w14:paraId="1960E856" w14:textId="04BBA683" w:rsidR="00B92274" w:rsidRPr="00B92274" w:rsidRDefault="00B92274" w:rsidP="00B92274">
            <w:pPr>
              <w:pStyle w:val="Default"/>
              <w:numPr>
                <w:ilvl w:val="0"/>
                <w:numId w:val="11"/>
              </w:numPr>
              <w:rPr>
                <w:rFonts w:ascii="Cambria" w:hAnsi="Cambria"/>
                <w:sz w:val="20"/>
                <w:szCs w:val="20"/>
              </w:rPr>
            </w:pPr>
            <w:r w:rsidRPr="00B92274">
              <w:rPr>
                <w:rFonts w:ascii="Cambria" w:hAnsi="Cambria"/>
                <w:sz w:val="20"/>
                <w:szCs w:val="20"/>
              </w:rPr>
              <w:t>Draw conclusions about the level of pupil learning based on effective assessment tasks and the use of data.</w:t>
            </w:r>
          </w:p>
          <w:p w14:paraId="6222DBCD" w14:textId="77777777" w:rsidR="00B92274" w:rsidRPr="00B92274" w:rsidRDefault="00B92274" w:rsidP="00B92274">
            <w:pPr>
              <w:pStyle w:val="Default"/>
              <w:ind w:left="720"/>
              <w:rPr>
                <w:rFonts w:ascii="Cambria" w:hAnsi="Cambria"/>
                <w:sz w:val="20"/>
                <w:szCs w:val="20"/>
              </w:rPr>
            </w:pPr>
          </w:p>
          <w:p w14:paraId="2BA5E765" w14:textId="5C07E397" w:rsidR="00CB44DE" w:rsidRPr="00B92274" w:rsidRDefault="00B92274" w:rsidP="00B92274">
            <w:pPr>
              <w:pStyle w:val="Default"/>
              <w:numPr>
                <w:ilvl w:val="0"/>
                <w:numId w:val="11"/>
              </w:numPr>
              <w:rPr>
                <w:rFonts w:ascii="Cambria" w:hAnsi="Cambria"/>
                <w:sz w:val="20"/>
                <w:szCs w:val="20"/>
              </w:rPr>
            </w:pPr>
            <w:r w:rsidRPr="00B92274">
              <w:rPr>
                <w:rFonts w:ascii="Cambria" w:hAnsi="Cambria"/>
                <w:sz w:val="20"/>
                <w:szCs w:val="20"/>
              </w:rPr>
              <w:t>Use data to effectively enable pupils to learn and make progress checking for prior knowledge and pre-existing misconceptions.</w:t>
            </w:r>
          </w:p>
          <w:p w14:paraId="1FB70AF6" w14:textId="77777777" w:rsidR="00B92274" w:rsidRPr="00B92274" w:rsidRDefault="00B92274" w:rsidP="00B92274">
            <w:pPr>
              <w:pStyle w:val="Default"/>
              <w:ind w:left="720"/>
              <w:rPr>
                <w:rFonts w:ascii="Cambria" w:hAnsi="Cambria"/>
                <w:sz w:val="20"/>
                <w:szCs w:val="20"/>
              </w:rPr>
            </w:pPr>
          </w:p>
          <w:p w14:paraId="0A5D686E" w14:textId="77777777" w:rsidR="00B92274" w:rsidRDefault="00B92274" w:rsidP="00B92274">
            <w:pPr>
              <w:pStyle w:val="Default"/>
              <w:numPr>
                <w:ilvl w:val="0"/>
                <w:numId w:val="11"/>
              </w:numPr>
              <w:rPr>
                <w:rFonts w:ascii="Cambria" w:hAnsi="Cambria"/>
                <w:sz w:val="20"/>
                <w:szCs w:val="20"/>
              </w:rPr>
            </w:pPr>
            <w:r w:rsidRPr="00B92274">
              <w:rPr>
                <w:rFonts w:ascii="Cambria" w:hAnsi="Cambria"/>
                <w:sz w:val="20"/>
                <w:szCs w:val="20"/>
              </w:rPr>
              <w:t>Identify common strategies to provide feedback/feedforward to pupils.</w:t>
            </w:r>
          </w:p>
          <w:p w14:paraId="6E968FA4" w14:textId="77777777" w:rsidR="00B92274" w:rsidRPr="00B92274" w:rsidRDefault="00B92274" w:rsidP="00B92274">
            <w:pPr>
              <w:pStyle w:val="Default"/>
              <w:rPr>
                <w:rFonts w:ascii="Cambria" w:hAnsi="Cambria"/>
                <w:sz w:val="20"/>
                <w:szCs w:val="20"/>
              </w:rPr>
            </w:pPr>
          </w:p>
          <w:p w14:paraId="5C01DF4D" w14:textId="77777777" w:rsidR="00B92274" w:rsidRPr="00B92274" w:rsidRDefault="00B92274" w:rsidP="00B92274">
            <w:pPr>
              <w:pStyle w:val="Default"/>
              <w:numPr>
                <w:ilvl w:val="0"/>
                <w:numId w:val="11"/>
              </w:numPr>
              <w:rPr>
                <w:rFonts w:ascii="Cambria" w:hAnsi="Cambria"/>
                <w:b/>
                <w:bCs/>
                <w:sz w:val="20"/>
                <w:szCs w:val="20"/>
              </w:rPr>
            </w:pPr>
            <w:r w:rsidRPr="00B92274">
              <w:rPr>
                <w:rFonts w:ascii="Cambria" w:hAnsi="Cambria"/>
                <w:sz w:val="20"/>
                <w:szCs w:val="20"/>
              </w:rPr>
              <w:t xml:space="preserve">Use </w:t>
            </w:r>
            <w:r>
              <w:rPr>
                <w:rFonts w:ascii="Cambria" w:hAnsi="Cambria"/>
                <w:sz w:val="20"/>
                <w:szCs w:val="20"/>
              </w:rPr>
              <w:t>Science</w:t>
            </w:r>
            <w:r w:rsidRPr="00B92274">
              <w:rPr>
                <w:rFonts w:ascii="Cambria" w:hAnsi="Cambria"/>
                <w:sz w:val="20"/>
                <w:szCs w:val="20"/>
              </w:rPr>
              <w:t xml:space="preserve"> examination material to structure assessment tasks.</w:t>
            </w:r>
          </w:p>
          <w:p w14:paraId="4EE07785" w14:textId="77777777" w:rsidR="00B92274" w:rsidRDefault="00B92274" w:rsidP="00B92274">
            <w:pPr>
              <w:pStyle w:val="ListParagraph"/>
              <w:rPr>
                <w:rFonts w:ascii="Cambria" w:hAnsi="Cambria"/>
                <w:b/>
                <w:bCs/>
                <w:sz w:val="20"/>
                <w:szCs w:val="20"/>
              </w:rPr>
            </w:pPr>
          </w:p>
          <w:p w14:paraId="3437E904" w14:textId="5079521A" w:rsidR="00B92274" w:rsidRPr="00523D39" w:rsidRDefault="00B92274" w:rsidP="00B92274">
            <w:pPr>
              <w:pStyle w:val="Default"/>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4BA011F" w14:textId="5910E1D0" w:rsidR="00EA7A61" w:rsidRPr="00EA7A61" w:rsidRDefault="00B5000E" w:rsidP="00EA7A61">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9E4201">
              <w:t xml:space="preserve"> </w:t>
            </w:r>
            <w:r w:rsidR="00B92274" w:rsidRPr="00B92274">
              <w:t>Use the focus of discussions from mentor meetings, targets, lesson observation feedback and task to reflect on areas of focus and development.</w:t>
            </w:r>
          </w:p>
          <w:p w14:paraId="6A09A617" w14:textId="1AF2F948" w:rsidR="00032784" w:rsidRPr="00032784" w:rsidRDefault="00032784" w:rsidP="00032784">
            <w:pPr>
              <w:pBdr>
                <w:top w:val="nil"/>
                <w:left w:val="nil"/>
                <w:bottom w:val="nil"/>
                <w:right w:val="nil"/>
                <w:between w:val="nil"/>
              </w:pBdr>
              <w:jc w:val="both"/>
              <w:rPr>
                <w:rFonts w:ascii="Cambria" w:hAnsi="Cambria"/>
                <w:b/>
                <w:bCs/>
                <w:sz w:val="20"/>
                <w:szCs w:val="20"/>
              </w:rPr>
            </w:pPr>
          </w:p>
          <w:p w14:paraId="7779B294" w14:textId="6EC28318" w:rsidR="006B0AB6" w:rsidRPr="00550C65" w:rsidRDefault="006B0AB6" w:rsidP="00550C65">
            <w:pPr>
              <w:pStyle w:val="Default"/>
              <w:jc w:val="both"/>
              <w:rPr>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287ED11E" w14:textId="77777777" w:rsidR="006B0AB6" w:rsidRDefault="006B0AB6" w:rsidP="00B5000E">
            <w:pPr>
              <w:pBdr>
                <w:top w:val="nil"/>
                <w:left w:val="nil"/>
                <w:bottom w:val="nil"/>
                <w:right w:val="nil"/>
                <w:between w:val="nil"/>
              </w:pBdr>
              <w:jc w:val="both"/>
              <w:rPr>
                <w:rFonts w:ascii="Cambria" w:hAnsi="Cambria"/>
                <w:b/>
                <w:bCs/>
                <w:sz w:val="20"/>
                <w:szCs w:val="20"/>
              </w:rPr>
            </w:pPr>
          </w:p>
          <w:p w14:paraId="316799A3" w14:textId="77777777" w:rsidR="00872478" w:rsidRDefault="00872478" w:rsidP="00B5000E">
            <w:pPr>
              <w:pBdr>
                <w:top w:val="nil"/>
                <w:left w:val="nil"/>
                <w:bottom w:val="nil"/>
                <w:right w:val="nil"/>
                <w:between w:val="nil"/>
              </w:pBdr>
              <w:jc w:val="both"/>
              <w:rPr>
                <w:rFonts w:ascii="Cambria" w:hAnsi="Cambria"/>
                <w:b/>
                <w:bCs/>
                <w:sz w:val="20"/>
                <w:szCs w:val="20"/>
              </w:rPr>
            </w:pPr>
          </w:p>
          <w:p w14:paraId="5BE1524D"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3C230598" w14:textId="77777777" w:rsidR="00872478" w:rsidRDefault="00872478" w:rsidP="00B5000E">
            <w:pPr>
              <w:pBdr>
                <w:top w:val="nil"/>
                <w:left w:val="nil"/>
                <w:bottom w:val="nil"/>
                <w:right w:val="nil"/>
                <w:between w:val="nil"/>
              </w:pBdr>
              <w:jc w:val="both"/>
              <w:rPr>
                <w:rFonts w:ascii="Cambria" w:hAnsi="Cambria"/>
                <w:b/>
                <w:bCs/>
                <w:sz w:val="20"/>
                <w:szCs w:val="20"/>
              </w:rPr>
            </w:pPr>
          </w:p>
          <w:p w14:paraId="0DDA1DD7" w14:textId="77777777" w:rsidR="00872478" w:rsidRDefault="00872478"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DA3C8A">
            <w:pPr>
              <w:pBdr>
                <w:top w:val="nil"/>
                <w:left w:val="nil"/>
                <w:bottom w:val="nil"/>
                <w:right w:val="nil"/>
                <w:between w:val="nil"/>
              </w:pBdr>
              <w:jc w:val="both"/>
              <w:rPr>
                <w:rFonts w:ascii="Cambria" w:hAnsi="Cambria"/>
                <w:b/>
                <w:bCs/>
                <w:sz w:val="20"/>
                <w:szCs w:val="20"/>
              </w:rPr>
            </w:pPr>
          </w:p>
          <w:p w14:paraId="4FE5885D" w14:textId="05362B50" w:rsidR="00EA7A61" w:rsidRPr="00EA7A61" w:rsidRDefault="00B5000E" w:rsidP="00EA7A61">
            <w:pPr>
              <w:pBdr>
                <w:top w:val="nil"/>
                <w:left w:val="nil"/>
                <w:bottom w:val="nil"/>
                <w:right w:val="nil"/>
                <w:between w:val="nil"/>
              </w:pBdr>
              <w:jc w:val="both"/>
              <w:rPr>
                <w:rFonts w:ascii="Cambria" w:hAnsi="Cambria"/>
                <w:b/>
                <w:bCs/>
                <w:i/>
                <w:iCs/>
                <w:sz w:val="20"/>
                <w:szCs w:val="20"/>
              </w:rPr>
            </w:pPr>
            <w:r w:rsidRPr="00523D39">
              <w:rPr>
                <w:rFonts w:ascii="Cambria" w:hAnsi="Cambria"/>
                <w:b/>
                <w:bCs/>
                <w:sz w:val="20"/>
                <w:szCs w:val="20"/>
              </w:rPr>
              <w:t>Q2:</w:t>
            </w:r>
            <w:r w:rsidR="006B0AB6">
              <w:rPr>
                <w:rFonts w:ascii="Cambria" w:hAnsi="Cambria"/>
                <w:b/>
                <w:bCs/>
                <w:sz w:val="20"/>
                <w:szCs w:val="20"/>
              </w:rPr>
              <w:t xml:space="preserve"> </w:t>
            </w:r>
            <w:r w:rsidR="009E4201">
              <w:t xml:space="preserve"> </w:t>
            </w:r>
            <w:r w:rsidR="00B92274" w:rsidRPr="00B92274">
              <w:t>Explore and reflect on how assessments coupled with student data inform planning and interventions in your setting.</w:t>
            </w:r>
          </w:p>
          <w:p w14:paraId="3AEDB71F" w14:textId="6EA6D255" w:rsidR="00B5000E" w:rsidRDefault="00B5000E" w:rsidP="00B5000E">
            <w:pPr>
              <w:pBdr>
                <w:top w:val="nil"/>
                <w:left w:val="nil"/>
                <w:bottom w:val="nil"/>
                <w:right w:val="nil"/>
                <w:between w:val="nil"/>
              </w:pBdr>
              <w:jc w:val="both"/>
              <w:rPr>
                <w:rFonts w:ascii="Cambria" w:hAnsi="Cambria"/>
                <w:b/>
                <w:bCs/>
                <w:sz w:val="20"/>
                <w:szCs w:val="20"/>
              </w:rPr>
            </w:pP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4D04CBA0" w14:textId="77777777" w:rsidR="006B0AB6" w:rsidRDefault="006B0AB6" w:rsidP="00B5000E">
            <w:pPr>
              <w:pBdr>
                <w:top w:val="nil"/>
                <w:left w:val="nil"/>
                <w:bottom w:val="nil"/>
                <w:right w:val="nil"/>
                <w:between w:val="nil"/>
              </w:pBdr>
              <w:jc w:val="both"/>
              <w:rPr>
                <w:rFonts w:ascii="Cambria" w:hAnsi="Cambria"/>
                <w:b/>
                <w:bCs/>
                <w:sz w:val="20"/>
                <w:szCs w:val="20"/>
              </w:rPr>
            </w:pPr>
          </w:p>
          <w:p w14:paraId="631092A0"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09D896" w14:textId="77777777" w:rsidR="006B0AB6" w:rsidRDefault="006B0AB6" w:rsidP="00DA3C8A">
            <w:pPr>
              <w:pBdr>
                <w:top w:val="nil"/>
                <w:left w:val="nil"/>
                <w:bottom w:val="nil"/>
                <w:right w:val="nil"/>
                <w:between w:val="nil"/>
              </w:pBdr>
              <w:jc w:val="both"/>
              <w:rPr>
                <w:rFonts w:ascii="Cambria" w:hAnsi="Cambria"/>
                <w:b/>
                <w:bCs/>
                <w:sz w:val="20"/>
                <w:szCs w:val="20"/>
              </w:rPr>
            </w:pPr>
          </w:p>
          <w:p w14:paraId="4514552D" w14:textId="77777777" w:rsidR="00810CFD" w:rsidRDefault="00810CFD" w:rsidP="00DA3C8A">
            <w:pPr>
              <w:pBdr>
                <w:top w:val="nil"/>
                <w:left w:val="nil"/>
                <w:bottom w:val="nil"/>
                <w:right w:val="nil"/>
                <w:between w:val="nil"/>
              </w:pBdr>
              <w:jc w:val="both"/>
              <w:rPr>
                <w:rFonts w:ascii="Cambria" w:hAnsi="Cambria"/>
                <w:b/>
                <w:bCs/>
                <w:sz w:val="20"/>
                <w:szCs w:val="20"/>
              </w:rPr>
            </w:pPr>
          </w:p>
          <w:p w14:paraId="021E5346" w14:textId="77777777" w:rsidR="00810CFD" w:rsidRPr="00523D39" w:rsidRDefault="00810CFD" w:rsidP="00DA3C8A">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72DFF81" w14:textId="77777777" w:rsidR="00C663BC"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p w14:paraId="7A6DC59F" w14:textId="77777777" w:rsidR="0027042C"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p>
          <w:p w14:paraId="79CD1FEE" w14:textId="77E36052" w:rsidR="0027042C" w:rsidRPr="00523D39"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r w:rsidRPr="0027042C">
              <w:rPr>
                <w:rFonts w:ascii="Cambria" w:hAnsi="Cambria" w:cs="Calibri"/>
                <w:b/>
                <w:bCs/>
                <w:color w:val="201F1E"/>
                <w:sz w:val="20"/>
                <w:szCs w:val="20"/>
                <w:u w:val="single"/>
              </w:rPr>
              <w:t>YES</w:t>
            </w:r>
            <w:r>
              <w:rPr>
                <w:rFonts w:ascii="Cambria" w:hAnsi="Cambria" w:cs="Calibri"/>
                <w:color w:val="201F1E"/>
                <w:sz w:val="20"/>
                <w:szCs w:val="20"/>
              </w:rPr>
              <w:t>/NO</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5107CA">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206F1" w14:textId="77777777" w:rsidR="005107CA" w:rsidRDefault="005107CA" w:rsidP="00BB0205">
      <w:pPr>
        <w:spacing w:after="0" w:line="240" w:lineRule="auto"/>
      </w:pPr>
      <w:r>
        <w:separator/>
      </w:r>
    </w:p>
  </w:endnote>
  <w:endnote w:type="continuationSeparator" w:id="0">
    <w:p w14:paraId="1AD87F34" w14:textId="77777777" w:rsidR="005107CA" w:rsidRDefault="005107C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C4F2D" w14:textId="77777777" w:rsidR="005107CA" w:rsidRDefault="005107CA" w:rsidP="00BB0205">
      <w:pPr>
        <w:spacing w:after="0" w:line="240" w:lineRule="auto"/>
      </w:pPr>
      <w:r>
        <w:separator/>
      </w:r>
    </w:p>
  </w:footnote>
  <w:footnote w:type="continuationSeparator" w:id="0">
    <w:p w14:paraId="711E451A" w14:textId="77777777" w:rsidR="005107CA" w:rsidRDefault="005107C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8E1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BF21F3"/>
    <w:multiLevelType w:val="hybridMultilevel"/>
    <w:tmpl w:val="7BA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199E"/>
    <w:multiLevelType w:val="hybridMultilevel"/>
    <w:tmpl w:val="1FF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64DB8"/>
    <w:multiLevelType w:val="hybridMultilevel"/>
    <w:tmpl w:val="65A4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6F10AC"/>
    <w:multiLevelType w:val="hybridMultilevel"/>
    <w:tmpl w:val="D0281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7565B3"/>
    <w:multiLevelType w:val="hybridMultilevel"/>
    <w:tmpl w:val="58F8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9A5414"/>
    <w:multiLevelType w:val="hybridMultilevel"/>
    <w:tmpl w:val="17BE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10"/>
  </w:num>
  <w:num w:numId="2" w16cid:durableId="745959156">
    <w:abstractNumId w:val="7"/>
  </w:num>
  <w:num w:numId="3" w16cid:durableId="365060952">
    <w:abstractNumId w:val="3"/>
  </w:num>
  <w:num w:numId="4" w16cid:durableId="970749666">
    <w:abstractNumId w:val="1"/>
  </w:num>
  <w:num w:numId="5" w16cid:durableId="725759696">
    <w:abstractNumId w:val="0"/>
  </w:num>
  <w:num w:numId="6" w16cid:durableId="955520255">
    <w:abstractNumId w:val="4"/>
  </w:num>
  <w:num w:numId="7" w16cid:durableId="1717655452">
    <w:abstractNumId w:val="5"/>
  </w:num>
  <w:num w:numId="8" w16cid:durableId="1834712070">
    <w:abstractNumId w:val="6"/>
  </w:num>
  <w:num w:numId="9" w16cid:durableId="809253834">
    <w:abstractNumId w:val="11"/>
  </w:num>
  <w:num w:numId="10" w16cid:durableId="1637179490">
    <w:abstractNumId w:val="9"/>
  </w:num>
  <w:num w:numId="11" w16cid:durableId="2090535734">
    <w:abstractNumId w:val="8"/>
  </w:num>
  <w:num w:numId="12" w16cid:durableId="9001405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2784"/>
    <w:rsid w:val="000467DF"/>
    <w:rsid w:val="000A4500"/>
    <w:rsid w:val="000C0420"/>
    <w:rsid w:val="000D2747"/>
    <w:rsid w:val="000D5631"/>
    <w:rsid w:val="000D6922"/>
    <w:rsid w:val="000F7F57"/>
    <w:rsid w:val="00132F3C"/>
    <w:rsid w:val="001436B1"/>
    <w:rsid w:val="001506CA"/>
    <w:rsid w:val="00157999"/>
    <w:rsid w:val="00164C19"/>
    <w:rsid w:val="00166757"/>
    <w:rsid w:val="00187942"/>
    <w:rsid w:val="00193244"/>
    <w:rsid w:val="001A090B"/>
    <w:rsid w:val="001B0667"/>
    <w:rsid w:val="001B46A9"/>
    <w:rsid w:val="001B5C6F"/>
    <w:rsid w:val="001B5DFB"/>
    <w:rsid w:val="001E5B59"/>
    <w:rsid w:val="001F2CB3"/>
    <w:rsid w:val="0020392C"/>
    <w:rsid w:val="00203B1D"/>
    <w:rsid w:val="002048B7"/>
    <w:rsid w:val="002077E7"/>
    <w:rsid w:val="00216C53"/>
    <w:rsid w:val="002176C6"/>
    <w:rsid w:val="002402B7"/>
    <w:rsid w:val="00244BD5"/>
    <w:rsid w:val="00257C5E"/>
    <w:rsid w:val="0026278D"/>
    <w:rsid w:val="00267F20"/>
    <w:rsid w:val="0027042C"/>
    <w:rsid w:val="00275428"/>
    <w:rsid w:val="00275519"/>
    <w:rsid w:val="00284E41"/>
    <w:rsid w:val="002945B0"/>
    <w:rsid w:val="002C6982"/>
    <w:rsid w:val="002D6840"/>
    <w:rsid w:val="002D71BC"/>
    <w:rsid w:val="002F0646"/>
    <w:rsid w:val="003324D5"/>
    <w:rsid w:val="00341E44"/>
    <w:rsid w:val="003433DA"/>
    <w:rsid w:val="003558A2"/>
    <w:rsid w:val="00360B99"/>
    <w:rsid w:val="00360FDF"/>
    <w:rsid w:val="00362E65"/>
    <w:rsid w:val="0036642F"/>
    <w:rsid w:val="00387F4F"/>
    <w:rsid w:val="00393C9C"/>
    <w:rsid w:val="00395BFE"/>
    <w:rsid w:val="003C0614"/>
    <w:rsid w:val="003C1D2B"/>
    <w:rsid w:val="003E7131"/>
    <w:rsid w:val="003F297E"/>
    <w:rsid w:val="004009A7"/>
    <w:rsid w:val="00402356"/>
    <w:rsid w:val="00403E3F"/>
    <w:rsid w:val="00446426"/>
    <w:rsid w:val="004475B3"/>
    <w:rsid w:val="00454F71"/>
    <w:rsid w:val="00464034"/>
    <w:rsid w:val="00466068"/>
    <w:rsid w:val="00470596"/>
    <w:rsid w:val="00485777"/>
    <w:rsid w:val="004933A3"/>
    <w:rsid w:val="004A0E13"/>
    <w:rsid w:val="004C3CDB"/>
    <w:rsid w:val="004D1B62"/>
    <w:rsid w:val="004F5A59"/>
    <w:rsid w:val="005031C0"/>
    <w:rsid w:val="005061DF"/>
    <w:rsid w:val="005107CA"/>
    <w:rsid w:val="005113AE"/>
    <w:rsid w:val="005120DA"/>
    <w:rsid w:val="00523D39"/>
    <w:rsid w:val="00532449"/>
    <w:rsid w:val="00542102"/>
    <w:rsid w:val="005479C5"/>
    <w:rsid w:val="005502E1"/>
    <w:rsid w:val="00550C65"/>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15BB7"/>
    <w:rsid w:val="00624699"/>
    <w:rsid w:val="00630263"/>
    <w:rsid w:val="00631D4B"/>
    <w:rsid w:val="00637553"/>
    <w:rsid w:val="00645D9A"/>
    <w:rsid w:val="006466C4"/>
    <w:rsid w:val="0064731C"/>
    <w:rsid w:val="00650A8F"/>
    <w:rsid w:val="00663D4E"/>
    <w:rsid w:val="00690414"/>
    <w:rsid w:val="00690AD3"/>
    <w:rsid w:val="00690DB7"/>
    <w:rsid w:val="006928B6"/>
    <w:rsid w:val="006A2DCB"/>
    <w:rsid w:val="006A777B"/>
    <w:rsid w:val="006B0AB6"/>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3C4C"/>
    <w:rsid w:val="007C66A6"/>
    <w:rsid w:val="007D2AA4"/>
    <w:rsid w:val="007E2240"/>
    <w:rsid w:val="007E3BF9"/>
    <w:rsid w:val="00800444"/>
    <w:rsid w:val="00810CFD"/>
    <w:rsid w:val="008151B0"/>
    <w:rsid w:val="008235B7"/>
    <w:rsid w:val="00826A63"/>
    <w:rsid w:val="00852211"/>
    <w:rsid w:val="00854B4E"/>
    <w:rsid w:val="00866227"/>
    <w:rsid w:val="008675C2"/>
    <w:rsid w:val="00872478"/>
    <w:rsid w:val="00876843"/>
    <w:rsid w:val="00894394"/>
    <w:rsid w:val="008A3736"/>
    <w:rsid w:val="008A6127"/>
    <w:rsid w:val="008A67D8"/>
    <w:rsid w:val="008B1D2B"/>
    <w:rsid w:val="008C5CA6"/>
    <w:rsid w:val="008C6ED4"/>
    <w:rsid w:val="008D261C"/>
    <w:rsid w:val="008D6C75"/>
    <w:rsid w:val="008E15AD"/>
    <w:rsid w:val="008E4B82"/>
    <w:rsid w:val="00904801"/>
    <w:rsid w:val="00921093"/>
    <w:rsid w:val="00923CC5"/>
    <w:rsid w:val="009404E7"/>
    <w:rsid w:val="00943673"/>
    <w:rsid w:val="00945A5D"/>
    <w:rsid w:val="009461D9"/>
    <w:rsid w:val="009606AB"/>
    <w:rsid w:val="0096319B"/>
    <w:rsid w:val="00965CE6"/>
    <w:rsid w:val="00966A4C"/>
    <w:rsid w:val="00970EA0"/>
    <w:rsid w:val="009879A9"/>
    <w:rsid w:val="009A5B5A"/>
    <w:rsid w:val="009B3121"/>
    <w:rsid w:val="009B6144"/>
    <w:rsid w:val="009C79B8"/>
    <w:rsid w:val="009D30D2"/>
    <w:rsid w:val="009E4201"/>
    <w:rsid w:val="00A00F62"/>
    <w:rsid w:val="00A166D0"/>
    <w:rsid w:val="00A27B4C"/>
    <w:rsid w:val="00A36B06"/>
    <w:rsid w:val="00A45924"/>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21622"/>
    <w:rsid w:val="00B5000E"/>
    <w:rsid w:val="00B71FAE"/>
    <w:rsid w:val="00B75F73"/>
    <w:rsid w:val="00B8188E"/>
    <w:rsid w:val="00B92274"/>
    <w:rsid w:val="00BA06A2"/>
    <w:rsid w:val="00BA12BC"/>
    <w:rsid w:val="00BA3E39"/>
    <w:rsid w:val="00BB0205"/>
    <w:rsid w:val="00BC2D67"/>
    <w:rsid w:val="00BF017F"/>
    <w:rsid w:val="00BF1357"/>
    <w:rsid w:val="00BF6FA3"/>
    <w:rsid w:val="00C15D55"/>
    <w:rsid w:val="00C463A4"/>
    <w:rsid w:val="00C60438"/>
    <w:rsid w:val="00C663BC"/>
    <w:rsid w:val="00C67B8B"/>
    <w:rsid w:val="00C714FE"/>
    <w:rsid w:val="00C82FE6"/>
    <w:rsid w:val="00C93F96"/>
    <w:rsid w:val="00C95C29"/>
    <w:rsid w:val="00C97785"/>
    <w:rsid w:val="00CA07FC"/>
    <w:rsid w:val="00CB44DE"/>
    <w:rsid w:val="00CC5EA8"/>
    <w:rsid w:val="00CD4364"/>
    <w:rsid w:val="00CD75DC"/>
    <w:rsid w:val="00CE7529"/>
    <w:rsid w:val="00D105DF"/>
    <w:rsid w:val="00D12C87"/>
    <w:rsid w:val="00D26EEE"/>
    <w:rsid w:val="00D67B11"/>
    <w:rsid w:val="00D7386B"/>
    <w:rsid w:val="00D8211D"/>
    <w:rsid w:val="00D83746"/>
    <w:rsid w:val="00D852D6"/>
    <w:rsid w:val="00D9612E"/>
    <w:rsid w:val="00DA3C8A"/>
    <w:rsid w:val="00DA4C7E"/>
    <w:rsid w:val="00DB4B64"/>
    <w:rsid w:val="00DD5A4F"/>
    <w:rsid w:val="00DF760B"/>
    <w:rsid w:val="00E02523"/>
    <w:rsid w:val="00E22452"/>
    <w:rsid w:val="00E27B26"/>
    <w:rsid w:val="00E4578A"/>
    <w:rsid w:val="00E457EF"/>
    <w:rsid w:val="00E45891"/>
    <w:rsid w:val="00E5003C"/>
    <w:rsid w:val="00E53DAA"/>
    <w:rsid w:val="00E65518"/>
    <w:rsid w:val="00E65DEB"/>
    <w:rsid w:val="00EA77D3"/>
    <w:rsid w:val="00EA7A61"/>
    <w:rsid w:val="00EB1FA3"/>
    <w:rsid w:val="00EE0C18"/>
    <w:rsid w:val="00EE1D6A"/>
    <w:rsid w:val="00EE53F3"/>
    <w:rsid w:val="00EE5A74"/>
    <w:rsid w:val="00EE64A0"/>
    <w:rsid w:val="00EF0AF4"/>
    <w:rsid w:val="00F07217"/>
    <w:rsid w:val="00F27212"/>
    <w:rsid w:val="00F45E23"/>
    <w:rsid w:val="00F47EC2"/>
    <w:rsid w:val="00F52B9A"/>
    <w:rsid w:val="00F55928"/>
    <w:rsid w:val="00F5767B"/>
    <w:rsid w:val="00F6789C"/>
    <w:rsid w:val="00F77DFE"/>
    <w:rsid w:val="00F82C86"/>
    <w:rsid w:val="00F83B94"/>
    <w:rsid w:val="00F83C7A"/>
    <w:rsid w:val="00F83EAA"/>
    <w:rsid w:val="00FB38FA"/>
    <w:rsid w:val="00FB5206"/>
    <w:rsid w:val="00FC0E49"/>
    <w:rsid w:val="00FD0C65"/>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elementtoproof">
    <w:name w:val="elementtoproof"/>
    <w:basedOn w:val="Normal"/>
    <w:rsid w:val="00810CFD"/>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356735487">
      <w:bodyDiv w:val="1"/>
      <w:marLeft w:val="0"/>
      <w:marRight w:val="0"/>
      <w:marTop w:val="0"/>
      <w:marBottom w:val="0"/>
      <w:divBdr>
        <w:top w:val="none" w:sz="0" w:space="0" w:color="auto"/>
        <w:left w:val="none" w:sz="0" w:space="0" w:color="auto"/>
        <w:bottom w:val="none" w:sz="0" w:space="0" w:color="auto"/>
        <w:right w:val="none" w:sz="0" w:space="0" w:color="auto"/>
      </w:divBdr>
    </w:div>
    <w:div w:id="634608040">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1993218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3556404">
      <w:bodyDiv w:val="1"/>
      <w:marLeft w:val="0"/>
      <w:marRight w:val="0"/>
      <w:marTop w:val="0"/>
      <w:marBottom w:val="0"/>
      <w:divBdr>
        <w:top w:val="none" w:sz="0" w:space="0" w:color="auto"/>
        <w:left w:val="none" w:sz="0" w:space="0" w:color="auto"/>
        <w:bottom w:val="none" w:sz="0" w:space="0" w:color="auto"/>
        <w:right w:val="none" w:sz="0" w:space="0" w:color="auto"/>
      </w:divBdr>
    </w:div>
    <w:div w:id="1539901301">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 w:id="1924293340">
      <w:bodyDiv w:val="1"/>
      <w:marLeft w:val="0"/>
      <w:marRight w:val="0"/>
      <w:marTop w:val="0"/>
      <w:marBottom w:val="0"/>
      <w:divBdr>
        <w:top w:val="none" w:sz="0" w:space="0" w:color="auto"/>
        <w:left w:val="none" w:sz="0" w:space="0" w:color="auto"/>
        <w:bottom w:val="none" w:sz="0" w:space="0" w:color="auto"/>
        <w:right w:val="none" w:sz="0" w:space="0" w:color="auto"/>
      </w:divBdr>
    </w:div>
    <w:div w:id="1954095249">
      <w:bodyDiv w:val="1"/>
      <w:marLeft w:val="0"/>
      <w:marRight w:val="0"/>
      <w:marTop w:val="0"/>
      <w:marBottom w:val="0"/>
      <w:divBdr>
        <w:top w:val="none" w:sz="0" w:space="0" w:color="auto"/>
        <w:left w:val="none" w:sz="0" w:space="0" w:color="auto"/>
        <w:bottom w:val="none" w:sz="0" w:space="0" w:color="auto"/>
        <w:right w:val="none" w:sz="0" w:space="0" w:color="auto"/>
      </w:divBdr>
    </w:div>
    <w:div w:id="2089450632">
      <w:bodyDiv w:val="1"/>
      <w:marLeft w:val="0"/>
      <w:marRight w:val="0"/>
      <w:marTop w:val="0"/>
      <w:marBottom w:val="0"/>
      <w:divBdr>
        <w:top w:val="none" w:sz="0" w:space="0" w:color="auto"/>
        <w:left w:val="none" w:sz="0" w:space="0" w:color="auto"/>
        <w:bottom w:val="none" w:sz="0" w:space="0" w:color="auto"/>
        <w:right w:val="none" w:sz="0" w:space="0" w:color="auto"/>
      </w:divBdr>
    </w:div>
    <w:div w:id="214696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q-myBw36_DA"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edgehill.on.worldcat.org%2Foclc%2F958479497&amp;data=05%7C02%7CPorterb%40edgehill.ac.uk%7C362a566eef104c94a1fc08dc4f17400a%7C093586914d8e491caa760a5cbd5ba734%7C0%7C0%7C638472208487155213%7CUnknown%7CTWFpbGZsb3d8eyJWIjoiMC4wLjAwMDAiLCJQIjoiV2luMzIiLCJBTiI6Ik1haWwiLCJXVCI6Mn0%3D%7C0%7C%7C%7C&amp;sdata=0qJ49%2ByttErPiyLn%2BGRY92PZKPyriX4owMAHkEYeQXg%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jl7fcSPlF2uh2Z7nix4xXfEZYEkH5jxF/view?usp=share_li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 porter</cp:lastModifiedBy>
  <cp:revision>19</cp:revision>
  <cp:lastPrinted>2023-05-18T14:08:00Z</cp:lastPrinted>
  <dcterms:created xsi:type="dcterms:W3CDTF">2023-06-21T15:25:00Z</dcterms:created>
  <dcterms:modified xsi:type="dcterms:W3CDTF">2024-04-12T07:47:00Z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