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7"/>
        <w:gridCol w:w="905"/>
        <w:gridCol w:w="1687"/>
        <w:gridCol w:w="1133"/>
        <w:gridCol w:w="557"/>
        <w:gridCol w:w="1719"/>
        <w:gridCol w:w="575"/>
        <w:gridCol w:w="1124"/>
        <w:gridCol w:w="1192"/>
        <w:gridCol w:w="47"/>
        <w:gridCol w:w="657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797C10F2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E67305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34</w:t>
            </w:r>
            <w:r w:rsidR="008D544D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(Final week of professional practice phase)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54AE401B" w:rsidR="00E65DEB" w:rsidRPr="00523D39" w:rsidRDefault="00D26D48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                     </w:t>
            </w:r>
            <w:r w:rsidR="004814BB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Course: </w:t>
            </w:r>
            <w:r w:rsidR="004814BB">
              <w:rPr>
                <w:rFonts w:ascii="Cambria" w:hAnsi="Cambria"/>
                <w:b/>
                <w:bCs/>
                <w:sz w:val="20"/>
                <w:szCs w:val="20"/>
              </w:rPr>
              <w:t>BA (Hons) Secondary RE with QTS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866369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1057A0B6" w:rsidR="004009A7" w:rsidRPr="00523D39" w:rsidRDefault="00E6730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E67305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April, 2024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20F8" w14:textId="77777777" w:rsidR="00474AF9" w:rsidRPr="00D54CE8" w:rsidRDefault="00474AF9" w:rsidP="00474AF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D54CE8">
              <w:rPr>
                <w:rFonts w:asciiTheme="minorHAnsi" w:hAnsiTheme="minorHAnsi" w:cstheme="minorHAnsi"/>
                <w:b/>
                <w:bCs/>
              </w:rPr>
              <w:t>Summary</w:t>
            </w:r>
          </w:p>
          <w:p w14:paraId="38069639" w14:textId="0F969798" w:rsidR="00474AF9" w:rsidRPr="006D08E6" w:rsidRDefault="00474AF9" w:rsidP="00474AF9">
            <w:pPr>
              <w:pStyle w:val="NoSpacing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Murdock-Perriera and Sedlacek’s 2018 paper is a review of literature investigating the idea </w:t>
            </w:r>
            <w:r w:rsidR="0037096C">
              <w:rPr>
                <w:rFonts w:asciiTheme="minorHAnsi" w:hAnsiTheme="minorHAnsi" w:cstheme="minorHAnsi"/>
                <w:sz w:val="22"/>
                <w:szCs w:val="20"/>
              </w:rPr>
              <w:t>of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the ‘Pygmalion effect’ – Teachers’ expectations of pupils can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0"/>
              </w:rPr>
              <w:t>effect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outcomes – what the paper calls teacher expectancies.  It surmises that teacher expectancies do exist and </w:t>
            </w:r>
            <w:r w:rsidRPr="00E67305">
              <w:rPr>
                <w:rFonts w:asciiTheme="minorHAnsi" w:hAnsiTheme="minorHAnsi" w:cstheme="minorHAnsi"/>
              </w:rPr>
              <w:t>can be enacted through the following mechanisms:</w:t>
            </w:r>
          </w:p>
          <w:p w14:paraId="6FBDD129" w14:textId="77777777" w:rsidR="00474AF9" w:rsidRPr="00E67305" w:rsidRDefault="00474AF9" w:rsidP="00474AF9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>the positive or negative classroom climate generated by the teacher (e.g., through eye contact and other means)</w:t>
            </w:r>
          </w:p>
          <w:p w14:paraId="600E0488" w14:textId="77777777" w:rsidR="00474AF9" w:rsidRPr="00E67305" w:rsidRDefault="00474AF9" w:rsidP="00474AF9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 xml:space="preserve">the feedback or lack of feedback provided to </w:t>
            </w:r>
            <w:proofErr w:type="gramStart"/>
            <w:r w:rsidRPr="00E67305">
              <w:rPr>
                <w:rFonts w:asciiTheme="minorHAnsi" w:hAnsiTheme="minorHAnsi" w:cstheme="minorHAnsi"/>
              </w:rPr>
              <w:t>students</w:t>
            </w:r>
            <w:proofErr w:type="gramEnd"/>
          </w:p>
          <w:p w14:paraId="14D0D251" w14:textId="77777777" w:rsidR="00474AF9" w:rsidRPr="00E67305" w:rsidRDefault="00474AF9" w:rsidP="00474AF9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 xml:space="preserve">the time and curriculum quality afforded to each </w:t>
            </w:r>
            <w:proofErr w:type="gramStart"/>
            <w:r w:rsidRPr="00E67305">
              <w:rPr>
                <w:rFonts w:asciiTheme="minorHAnsi" w:hAnsiTheme="minorHAnsi" w:cstheme="minorHAnsi"/>
              </w:rPr>
              <w:t>student</w:t>
            </w:r>
            <w:proofErr w:type="gramEnd"/>
          </w:p>
          <w:p w14:paraId="2A211909" w14:textId="77777777" w:rsidR="00474AF9" w:rsidRPr="00E67305" w:rsidRDefault="00474AF9" w:rsidP="00474AF9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>the performance and response opportunities afforded to each student (e.g., opportunities to answer questions and the teacher’s patience while waiting for the student to answer)</w:t>
            </w:r>
          </w:p>
          <w:p w14:paraId="52CA3D2B" w14:textId="77777777" w:rsidR="00474AF9" w:rsidRPr="00D54CE8" w:rsidRDefault="00474AF9" w:rsidP="00474AF9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3997EBA" w14:textId="77777777" w:rsidR="00474AF9" w:rsidRPr="00D54CE8" w:rsidRDefault="00474AF9" w:rsidP="00474AF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D54CE8">
              <w:rPr>
                <w:rFonts w:asciiTheme="minorHAnsi" w:hAnsiTheme="minorHAnsi" w:cstheme="minorHAnsi"/>
                <w:b/>
                <w:bCs/>
              </w:rPr>
              <w:t>Limitations</w:t>
            </w:r>
          </w:p>
          <w:p w14:paraId="229F72D3" w14:textId="77777777" w:rsidR="00474AF9" w:rsidRPr="00E67305" w:rsidRDefault="00474AF9" w:rsidP="00474AF9">
            <w:pPr>
              <w:pStyle w:val="NoSpacing"/>
              <w:rPr>
                <w:rFonts w:asciiTheme="minorHAnsi" w:hAnsiTheme="minorHAnsi" w:cstheme="minorHAnsi"/>
              </w:rPr>
            </w:pPr>
            <w:r w:rsidRPr="00E67305">
              <w:rPr>
                <w:rFonts w:asciiTheme="minorHAnsi" w:hAnsiTheme="minorHAnsi" w:cstheme="minorHAnsi"/>
              </w:rPr>
              <w:t>The study acknowledges that even the most severe teacher expectancies explain only a fraction of variation in students’ educational outcomes, and that significant expectancies may affect only a fraction of all teachers.</w:t>
            </w:r>
            <w:r>
              <w:rPr>
                <w:rFonts w:asciiTheme="minorHAnsi" w:hAnsiTheme="minorHAnsi" w:cstheme="minorHAnsi"/>
              </w:rPr>
              <w:t xml:space="preserve">  Much of the literature reviewed is quite old, and it is possible that the situation in contemporary English schools is different.</w:t>
            </w:r>
          </w:p>
          <w:p w14:paraId="5A04C68B" w14:textId="77777777" w:rsidR="00474AF9" w:rsidRPr="00D54CE8" w:rsidRDefault="00474AF9" w:rsidP="00474AF9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4419DB0" w14:textId="77777777" w:rsidR="00474AF9" w:rsidRPr="00D54CE8" w:rsidRDefault="00474AF9" w:rsidP="00474AF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D54CE8">
              <w:rPr>
                <w:rFonts w:asciiTheme="minorHAnsi" w:hAnsiTheme="minorHAnsi" w:cstheme="minorHAnsi"/>
                <w:b/>
                <w:bCs/>
              </w:rPr>
              <w:t>Reference</w:t>
            </w:r>
          </w:p>
          <w:p w14:paraId="6071F449" w14:textId="006335DD" w:rsidR="00866227" w:rsidRPr="00E67305" w:rsidRDefault="00474AF9" w:rsidP="00E67305">
            <w:pPr>
              <w:pStyle w:val="NoSpacing"/>
            </w:pPr>
            <w:r w:rsidRPr="00E67305">
              <w:rPr>
                <w:rFonts w:asciiTheme="minorHAnsi" w:hAnsiTheme="minorHAnsi" w:cstheme="minorHAnsi"/>
                <w:sz w:val="16"/>
                <w:szCs w:val="14"/>
              </w:rPr>
              <w:t>Murdock-Perriera, L. A., &amp; Sedlacek, Q. C. (2018) Questioning Pygmalion in the twenty-first century: the formation, transmission, and attributional influence of teacher expectancies. Social Psychology of Education, 21(3), 691–707. https://doi.org/10.1007/s11218-018-9439-9.</w:t>
            </w: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C9B1" w14:textId="114E94A3" w:rsidR="00B5000E" w:rsidRPr="004E1CE2" w:rsidRDefault="004E1CE2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Tw Cen MT" w:hAnsi="Tw Cen MT" w:cs="Calibri"/>
                <w:color w:val="201F1E"/>
              </w:rPr>
            </w:pPr>
            <w:r w:rsidRPr="004E1CE2">
              <w:rPr>
                <w:rFonts w:ascii="Tw Cen MT" w:hAnsi="Tw Cen MT" w:cs="Calibri"/>
                <w:color w:val="201F1E"/>
              </w:rPr>
              <w:t xml:space="preserve">In addition to our CPD offer at Edge Hill, </w:t>
            </w:r>
            <w:hyperlink r:id="rId12" w:history="1">
              <w:r w:rsidRPr="004E1CE2">
                <w:rPr>
                  <w:rStyle w:val="Hyperlink"/>
                  <w:rFonts w:ascii="Tw Cen MT" w:hAnsi="Tw Cen MT"/>
                </w:rPr>
                <w:t>In Conversation with a Trans Catholic Teacher | Edge Hill University</w:t>
              </w:r>
            </w:hyperlink>
            <w:r w:rsidRPr="004E1CE2">
              <w:rPr>
                <w:rFonts w:ascii="Tw Cen MT" w:hAnsi="Tw Cen MT"/>
              </w:rPr>
              <w:t xml:space="preserve">, </w:t>
            </w:r>
            <w:hyperlink r:id="rId13" w:history="1">
              <w:r w:rsidRPr="004E1CE2">
                <w:rPr>
                  <w:rStyle w:val="Hyperlink"/>
                  <w:rFonts w:ascii="Tw Cen MT" w:hAnsi="Tw Cen MT"/>
                </w:rPr>
                <w:t>Religious Education Summer School | Edge Hill University</w:t>
              </w:r>
            </w:hyperlink>
            <w:r w:rsidRPr="004E1CE2">
              <w:rPr>
                <w:rFonts w:ascii="Tw Cen MT" w:hAnsi="Tw Cen MT"/>
              </w:rPr>
              <w:t xml:space="preserve">, </w:t>
            </w:r>
            <w:r w:rsidRPr="004E1CE2">
              <w:rPr>
                <w:rFonts w:ascii="Tw Cen MT" w:hAnsi="Tw Cen MT" w:cs="Calibri"/>
                <w:color w:val="201F1E"/>
              </w:rPr>
              <w:t xml:space="preserve">NATRE always have a lot of CPD courses available </w:t>
            </w:r>
            <w:hyperlink r:id="rId14" w:history="1">
              <w:r w:rsidRPr="004E1CE2">
                <w:rPr>
                  <w:rStyle w:val="Hyperlink"/>
                  <w:rFonts w:ascii="Tw Cen MT" w:hAnsi="Tw Cen MT"/>
                </w:rPr>
                <w:t>Upcoming Courses &amp; Events (natre.org.uk)</w:t>
              </w:r>
            </w:hyperlink>
            <w:r w:rsidRPr="004E1CE2">
              <w:rPr>
                <w:rStyle w:val="Hyperlink"/>
                <w:rFonts w:ascii="Tw Cen MT" w:hAnsi="Tw Cen MT"/>
              </w:rPr>
              <w:t xml:space="preserve">, </w:t>
            </w:r>
            <w:r w:rsidRPr="004E1CE2">
              <w:rPr>
                <w:rFonts w:ascii="Tw Cen MT" w:hAnsi="Tw Cen MT"/>
                <w:color w:val="201F1E"/>
              </w:rPr>
              <w:t xml:space="preserve">and there is a calendar on the RE-Hubs website </w:t>
            </w:r>
            <w:hyperlink r:id="rId15" w:history="1">
              <w:r w:rsidRPr="004E1CE2">
                <w:rPr>
                  <w:rStyle w:val="Hyperlink"/>
                  <w:rFonts w:ascii="Tw Cen MT" w:hAnsi="Tw Cen MT"/>
                </w:rPr>
                <w:t>Event Calendar (re-hubs.uk)</w:t>
              </w:r>
            </w:hyperlink>
          </w:p>
          <w:p w14:paraId="02295E43" w14:textId="77777777" w:rsidR="00B5000E" w:rsidRPr="004E1CE2" w:rsidRDefault="00B5000E" w:rsidP="004E1CE2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Tw Cen MT" w:hAnsi="Tw Cen MT" w:cstheme="minorHAnsi"/>
                <w:b/>
                <w:bCs/>
                <w:sz w:val="20"/>
                <w:szCs w:val="20"/>
              </w:rPr>
            </w:pPr>
          </w:p>
        </w:tc>
      </w:tr>
      <w:tr w:rsidR="00403E3F" w:rsidRPr="00F07217" w14:paraId="242BC6CD" w14:textId="77777777" w:rsidTr="00403E3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403E3F">
        <w:trPr>
          <w:trHeight w:val="968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CF" w14:textId="4BB0D338" w:rsidR="00AD0F07" w:rsidRPr="00A01A20" w:rsidRDefault="00AD0F07" w:rsidP="00AD0F07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01A20">
              <w:rPr>
                <w:rFonts w:ascii="Abadi" w:hAnsi="Abadi"/>
                <w:sz w:val="24"/>
                <w:szCs w:val="24"/>
              </w:rPr>
              <w:t>Building effective relationships with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A01A20">
              <w:rPr>
                <w:rFonts w:ascii="Abadi" w:hAnsi="Abadi"/>
                <w:sz w:val="24"/>
                <w:szCs w:val="24"/>
              </w:rPr>
              <w:t xml:space="preserve">parents, carers and families can improve pupils’ motivation, </w:t>
            </w:r>
            <w:proofErr w:type="gramStart"/>
            <w:r w:rsidRPr="00A01A20">
              <w:rPr>
                <w:rFonts w:ascii="Abadi" w:hAnsi="Abadi"/>
                <w:sz w:val="24"/>
                <w:szCs w:val="24"/>
              </w:rPr>
              <w:t>behaviour</w:t>
            </w:r>
            <w:proofErr w:type="gramEnd"/>
            <w:r w:rsidRPr="00A01A20">
              <w:rPr>
                <w:rFonts w:ascii="Abadi" w:hAnsi="Abadi"/>
                <w:sz w:val="24"/>
                <w:szCs w:val="24"/>
              </w:rPr>
              <w:t xml:space="preserve"> and academic success.</w:t>
            </w:r>
          </w:p>
          <w:p w14:paraId="7AC95225" w14:textId="29887B85" w:rsidR="00AD0F07" w:rsidRDefault="00AD0F07" w:rsidP="00AD0F07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01A20">
              <w:rPr>
                <w:rFonts w:ascii="Abadi" w:hAnsi="Abadi"/>
                <w:sz w:val="24"/>
                <w:szCs w:val="24"/>
              </w:rPr>
              <w:t>Effective professional development is likely to be sustained over time, involve expert support or coaching and opportunities for collaboration.</w:t>
            </w:r>
          </w:p>
          <w:p w14:paraId="4E488AE5" w14:textId="34C3AADD" w:rsidR="00CB44DE" w:rsidRPr="00AD0F07" w:rsidRDefault="00AD0F07" w:rsidP="00AD0F07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D0F07">
              <w:rPr>
                <w:rFonts w:ascii="Abadi" w:hAnsi="Abadi"/>
                <w:sz w:val="24"/>
                <w:szCs w:val="24"/>
              </w:rPr>
              <w:t xml:space="preserve">Engaging in high-quality professional development can help </w:t>
            </w:r>
            <w:r w:rsidR="004814BB">
              <w:rPr>
                <w:rFonts w:ascii="Abadi" w:hAnsi="Abadi"/>
                <w:sz w:val="24"/>
                <w:szCs w:val="24"/>
              </w:rPr>
              <w:t>RE</w:t>
            </w:r>
            <w:r w:rsidRPr="00AD0F07">
              <w:rPr>
                <w:rFonts w:ascii="Abadi" w:hAnsi="Abadi"/>
                <w:sz w:val="24"/>
                <w:szCs w:val="24"/>
              </w:rPr>
              <w:t xml:space="preserve"> teachers improve.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77777777" w:rsidR="00CB44DE" w:rsidRPr="00523D39" w:rsidRDefault="00CB44DE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C7F2" w14:textId="739D2A8D" w:rsidR="00AD0F07" w:rsidRDefault="00AD0F07" w:rsidP="00AD0F07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01A20">
              <w:rPr>
                <w:rFonts w:ascii="Abadi" w:hAnsi="Abadi"/>
                <w:sz w:val="24"/>
                <w:szCs w:val="24"/>
              </w:rPr>
              <w:t>Engage parents/carers in the education of their children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A01A20">
              <w:rPr>
                <w:rFonts w:ascii="Abadi" w:hAnsi="Abadi"/>
                <w:sz w:val="24"/>
                <w:szCs w:val="24"/>
              </w:rPr>
              <w:t>(including effective use of parents’ evenings)</w:t>
            </w:r>
          </w:p>
          <w:p w14:paraId="79497629" w14:textId="77777777" w:rsidR="00AD0F07" w:rsidRDefault="00AD0F07" w:rsidP="00AD0F07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D0F07">
              <w:rPr>
                <w:rFonts w:ascii="Abadi" w:hAnsi="Abadi"/>
                <w:sz w:val="24"/>
                <w:szCs w:val="24"/>
              </w:rPr>
              <w:t>Critically engage with research and use evidence to critique practice.</w:t>
            </w:r>
          </w:p>
          <w:p w14:paraId="12470ECA" w14:textId="77777777" w:rsidR="00AD0F07" w:rsidRDefault="00AD0F07" w:rsidP="00AD0F07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D0F07">
              <w:rPr>
                <w:rFonts w:ascii="Abadi" w:hAnsi="Abadi"/>
                <w:sz w:val="24"/>
                <w:szCs w:val="24"/>
              </w:rPr>
              <w:t>Identify areas for development and engage in appropriate CPD with clear intentions for pupil outcomes.</w:t>
            </w:r>
          </w:p>
          <w:p w14:paraId="3437E904" w14:textId="4B0F13A7" w:rsidR="00CB44DE" w:rsidRPr="00AD0F07" w:rsidRDefault="00AD0F07" w:rsidP="00AD0F07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D0F07">
              <w:rPr>
                <w:rFonts w:ascii="Abadi" w:hAnsi="Abadi"/>
                <w:sz w:val="24"/>
                <w:szCs w:val="24"/>
              </w:rPr>
              <w:t>Build effective working relationships by working with colleagues as part of a team.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5000E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77777777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</w:p>
          <w:p w14:paraId="09C24A5E" w14:textId="77777777" w:rsidR="00E67305" w:rsidRDefault="00E67305" w:rsidP="00B548D5">
            <w:pPr>
              <w:pStyle w:val="TableParagraph"/>
              <w:rPr>
                <w:rFonts w:ascii="Arial" w:hAnsi="Arial" w:cs="Arial"/>
              </w:rPr>
            </w:pPr>
          </w:p>
          <w:p w14:paraId="23C8C00F" w14:textId="10A0F421" w:rsidR="00B548D5" w:rsidRPr="00E67305" w:rsidRDefault="00B548D5" w:rsidP="00B548D5">
            <w:pPr>
              <w:pStyle w:val="TableParagraph"/>
              <w:rPr>
                <w:rFonts w:ascii="Arial" w:hAnsi="Arial" w:cs="Arial"/>
                <w:i w:val="0"/>
                <w:iCs w:val="0"/>
              </w:rPr>
            </w:pPr>
            <w:r w:rsidRPr="00E67305">
              <w:rPr>
                <w:rFonts w:ascii="Arial" w:hAnsi="Arial" w:cs="Arial"/>
                <w:i w:val="0"/>
                <w:iCs w:val="0"/>
              </w:rPr>
              <w:t>How effective is your communication to parents/carers in relation to pupil’s achievements and well-being?</w:t>
            </w:r>
          </w:p>
          <w:p w14:paraId="155EA672" w14:textId="77777777" w:rsidR="00E67305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FCBDA67" w14:textId="0B1A91F9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2369B8A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EDB71F" w14:textId="77777777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Q2:</w:t>
            </w:r>
          </w:p>
          <w:p w14:paraId="5F5768BE" w14:textId="77777777" w:rsidR="00E67305" w:rsidRDefault="00E67305" w:rsidP="00E67305">
            <w:pPr>
              <w:pStyle w:val="TableParagraph"/>
              <w:rPr>
                <w:rFonts w:ascii="Arial" w:hAnsi="Arial" w:cs="Arial"/>
                <w:i w:val="0"/>
                <w:iCs w:val="0"/>
              </w:rPr>
            </w:pPr>
            <w:r w:rsidRPr="00E67305">
              <w:rPr>
                <w:rFonts w:ascii="Arial" w:hAnsi="Arial" w:cs="Arial"/>
                <w:i w:val="0"/>
                <w:iCs w:val="0"/>
              </w:rPr>
              <w:t xml:space="preserve">Have you been involved with any CPD to improve teaching outside of your </w:t>
            </w:r>
            <w:proofErr w:type="spellStart"/>
            <w:r w:rsidRPr="00E67305">
              <w:rPr>
                <w:rFonts w:ascii="Arial" w:hAnsi="Arial" w:cs="Arial"/>
                <w:i w:val="0"/>
                <w:iCs w:val="0"/>
              </w:rPr>
              <w:t>programme</w:t>
            </w:r>
            <w:proofErr w:type="spellEnd"/>
            <w:r w:rsidRPr="00E67305">
              <w:rPr>
                <w:rFonts w:ascii="Arial" w:hAnsi="Arial" w:cs="Arial"/>
                <w:i w:val="0"/>
                <w:iCs w:val="0"/>
              </w:rPr>
              <w:t xml:space="preserve"> of ITT? If not, what could this look like? </w:t>
            </w:r>
          </w:p>
          <w:p w14:paraId="256E2227" w14:textId="77777777" w:rsidR="00E67305" w:rsidRPr="00523D39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2BB80EE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43430AA" w14:textId="77777777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Q3:</w:t>
            </w:r>
          </w:p>
          <w:p w14:paraId="72D2E84C" w14:textId="77777777" w:rsidR="00E67305" w:rsidRPr="00E67305" w:rsidRDefault="00E67305" w:rsidP="00E67305">
            <w:pPr>
              <w:pStyle w:val="TableParagraph"/>
              <w:rPr>
                <w:rFonts w:ascii="Arial" w:hAnsi="Arial" w:cs="Arial"/>
                <w:i w:val="0"/>
                <w:iCs w:val="0"/>
              </w:rPr>
            </w:pPr>
            <w:r w:rsidRPr="00E67305">
              <w:rPr>
                <w:rFonts w:ascii="Arial" w:hAnsi="Arial" w:cs="Arial"/>
                <w:i w:val="0"/>
                <w:iCs w:val="0"/>
              </w:rPr>
              <w:t>What CPD may you find it useful to engage with in the future (during your ECT phase for example)?</w:t>
            </w:r>
          </w:p>
          <w:p w14:paraId="3AB2A78F" w14:textId="77777777" w:rsidR="00E67305" w:rsidRPr="00523D39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F73181B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</w:t>
            </w:r>
          </w:p>
          <w:p w14:paraId="2912D7BD" w14:textId="77777777" w:rsidR="008B1D2B" w:rsidRDefault="008B1D2B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C429EE0" w14:textId="77777777" w:rsidR="00E67305" w:rsidRPr="00E67305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7305">
              <w:rPr>
                <w:rFonts w:ascii="Cambria" w:hAnsi="Cambria"/>
                <w:b/>
                <w:bCs/>
                <w:sz w:val="20"/>
                <w:szCs w:val="20"/>
              </w:rPr>
              <w:t>Q4:</w:t>
            </w:r>
          </w:p>
          <w:p w14:paraId="5B0287A4" w14:textId="77777777" w:rsidR="00E67305" w:rsidRPr="00E67305" w:rsidRDefault="00E67305" w:rsidP="00E6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7305">
              <w:rPr>
                <w:rFonts w:ascii="Arial" w:hAnsi="Arial" w:cs="Arial"/>
              </w:rPr>
              <w:t>How has your understanding of ‘professionalism’ developed since the start of your ITT programme? What insights have you made?</w:t>
            </w:r>
          </w:p>
          <w:p w14:paraId="2AC83877" w14:textId="77777777" w:rsidR="00E67305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37AD9CE" w14:textId="77777777" w:rsidR="00E67305" w:rsidRPr="00E67305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7305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</w:t>
            </w:r>
          </w:p>
          <w:p w14:paraId="11852BB5" w14:textId="14911FE0" w:rsidR="00E67305" w:rsidRPr="00523D39" w:rsidRDefault="00E67305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D4EF814" w14:textId="77777777" w:rsidTr="002454C4">
        <w:trPr>
          <w:trHeight w:val="357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D1A" w14:textId="26B693EA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0CE" w14:textId="77777777" w:rsidR="002454C4" w:rsidRPr="00523D39" w:rsidRDefault="002454C4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79CD1FEE" w14:textId="1827576D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0354214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ABE19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35E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218B9808" w14:textId="0649FD17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1F4B26D" w14:textId="77777777" w:rsidTr="002454C4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823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9F" w14:textId="19D99B79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36B" w14:textId="77777777" w:rsidR="002454C4" w:rsidRPr="00523D39" w:rsidRDefault="002454C4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6F26E38E" w14:textId="42C9D916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9DDE7D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D28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538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0732FB43" w14:textId="74E30A94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1EFF03BD" w14:textId="77777777" w:rsidTr="00454B5B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66E1" w14:textId="68765A02" w:rsidR="002454C4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Future practice development targets </w:t>
            </w:r>
            <w:r w:rsidRPr="00B752B5">
              <w:rPr>
                <w:rFonts w:ascii="Cambria" w:eastAsia="Georgia" w:hAnsi="Cambria" w:cs="Georgia"/>
                <w:b/>
                <w:sz w:val="20"/>
                <w:szCs w:val="20"/>
                <w:u w:val="single"/>
              </w:rPr>
              <w:t>for progress on next phase of ITE</w:t>
            </w:r>
          </w:p>
          <w:p w14:paraId="78D25B1F" w14:textId="3B330BCC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0585299" wp14:editId="476587FB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0B32242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To develop their practice </w:t>
            </w:r>
            <w:r w:rsidRPr="00B752B5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  <w:u w:val="single"/>
              </w:rPr>
              <w:t>on the next phase of their ITE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, the trainee will need opportunities to:</w:t>
            </w:r>
          </w:p>
        </w:tc>
      </w:tr>
      <w:tr w:rsidR="002454C4" w:rsidRPr="00F07217" w14:paraId="19ADFC6E" w14:textId="77777777" w:rsidTr="00292BE8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1981F8F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</w:tr>
      <w:tr w:rsidR="002454C4" w:rsidRPr="00F07217" w14:paraId="48262457" w14:textId="77777777" w:rsidTr="009E7583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2304C2D1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</w:tr>
      <w:tr w:rsidR="002454C4" w:rsidRPr="00F07217" w14:paraId="4FEC5910" w14:textId="77777777" w:rsidTr="00584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20DEE062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</w:tr>
      <w:tr w:rsidR="002454C4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408940E3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to the next phase of their ITE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171806A8" w:rsidR="002454C4" w:rsidRPr="00F83C7A" w:rsidRDefault="004E1CE2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2454C4" w:rsidRPr="00F83C7A" w:rsidRDefault="004E1CE2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2454C4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E065DF5" w:rsidR="002454C4" w:rsidRPr="00F07217" w:rsidRDefault="004E1CE2" w:rsidP="002454C4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curriculum and should be referred to the Associate Head of Department (ITE) for consideration of next steps.</w:t>
            </w:r>
            <w:r w:rsidR="002454C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04EC" w14:textId="77777777" w:rsidR="006B3909" w:rsidRDefault="006B3909" w:rsidP="00BB0205">
      <w:pPr>
        <w:spacing w:after="0" w:line="240" w:lineRule="auto"/>
      </w:pPr>
      <w:r>
        <w:separator/>
      </w:r>
    </w:p>
  </w:endnote>
  <w:endnote w:type="continuationSeparator" w:id="0">
    <w:p w14:paraId="0F2A76B7" w14:textId="77777777" w:rsidR="006B3909" w:rsidRDefault="006B390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E3FC" w14:textId="77777777" w:rsidR="006B3909" w:rsidRDefault="006B3909" w:rsidP="00BB0205">
      <w:pPr>
        <w:spacing w:after="0" w:line="240" w:lineRule="auto"/>
      </w:pPr>
      <w:r>
        <w:separator/>
      </w:r>
    </w:p>
  </w:footnote>
  <w:footnote w:type="continuationSeparator" w:id="0">
    <w:p w14:paraId="1BEF0FF7" w14:textId="77777777" w:rsidR="006B3909" w:rsidRDefault="006B390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0BC"/>
    <w:multiLevelType w:val="hybridMultilevel"/>
    <w:tmpl w:val="542EB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A4A2"/>
    <w:multiLevelType w:val="hybridMultilevel"/>
    <w:tmpl w:val="D9E4987A"/>
    <w:lvl w:ilvl="0" w:tplc="264C8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AA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06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EF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1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6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AC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86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EA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06A"/>
    <w:multiLevelType w:val="hybridMultilevel"/>
    <w:tmpl w:val="6E565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6B6D2C"/>
    <w:multiLevelType w:val="hybridMultilevel"/>
    <w:tmpl w:val="1B54D932"/>
    <w:lvl w:ilvl="0" w:tplc="240C3420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D1E31"/>
    <w:multiLevelType w:val="hybridMultilevel"/>
    <w:tmpl w:val="D334F818"/>
    <w:lvl w:ilvl="0" w:tplc="E86C042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739F5"/>
    <w:multiLevelType w:val="hybridMultilevel"/>
    <w:tmpl w:val="557E2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3ABECC"/>
    <w:multiLevelType w:val="hybridMultilevel"/>
    <w:tmpl w:val="FFFFFFFF"/>
    <w:lvl w:ilvl="0" w:tplc="A8E4B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B0A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22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66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C5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C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47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28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AA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82005">
    <w:abstractNumId w:val="9"/>
  </w:num>
  <w:num w:numId="2" w16cid:durableId="745959156">
    <w:abstractNumId w:val="5"/>
  </w:num>
  <w:num w:numId="3" w16cid:durableId="365060952">
    <w:abstractNumId w:val="2"/>
  </w:num>
  <w:num w:numId="4" w16cid:durableId="970749666">
    <w:abstractNumId w:val="1"/>
  </w:num>
  <w:num w:numId="5" w16cid:durableId="1253900823">
    <w:abstractNumId w:val="0"/>
  </w:num>
  <w:num w:numId="6" w16cid:durableId="753674132">
    <w:abstractNumId w:val="6"/>
  </w:num>
  <w:num w:numId="7" w16cid:durableId="1278760174">
    <w:abstractNumId w:val="7"/>
  </w:num>
  <w:num w:numId="8" w16cid:durableId="117067204">
    <w:abstractNumId w:val="3"/>
  </w:num>
  <w:num w:numId="9" w16cid:durableId="904418357">
    <w:abstractNumId w:val="8"/>
  </w:num>
  <w:num w:numId="10" w16cid:durableId="466976148">
    <w:abstractNumId w:val="10"/>
  </w:num>
  <w:num w:numId="11" w16cid:durableId="185711308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6943"/>
    <w:rsid w:val="002077E7"/>
    <w:rsid w:val="002176C6"/>
    <w:rsid w:val="002402B7"/>
    <w:rsid w:val="00244BD5"/>
    <w:rsid w:val="002454C4"/>
    <w:rsid w:val="00257C5E"/>
    <w:rsid w:val="00267F20"/>
    <w:rsid w:val="00275428"/>
    <w:rsid w:val="00275519"/>
    <w:rsid w:val="00284E41"/>
    <w:rsid w:val="002945B0"/>
    <w:rsid w:val="002D1721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7096C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46426"/>
    <w:rsid w:val="00464034"/>
    <w:rsid w:val="00470596"/>
    <w:rsid w:val="00474AF9"/>
    <w:rsid w:val="004814BB"/>
    <w:rsid w:val="00485777"/>
    <w:rsid w:val="004933A3"/>
    <w:rsid w:val="004A0E13"/>
    <w:rsid w:val="004C3CDB"/>
    <w:rsid w:val="004E1CE2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544D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0F07"/>
    <w:rsid w:val="00AD1D6C"/>
    <w:rsid w:val="00AD2305"/>
    <w:rsid w:val="00AE0D6F"/>
    <w:rsid w:val="00AE47A3"/>
    <w:rsid w:val="00AE5D12"/>
    <w:rsid w:val="00B109B2"/>
    <w:rsid w:val="00B5000E"/>
    <w:rsid w:val="00B548D5"/>
    <w:rsid w:val="00B71FAE"/>
    <w:rsid w:val="00B752B5"/>
    <w:rsid w:val="00B75F73"/>
    <w:rsid w:val="00B8188E"/>
    <w:rsid w:val="00BA06A2"/>
    <w:rsid w:val="00BA12BC"/>
    <w:rsid w:val="00BA3E39"/>
    <w:rsid w:val="00BB0205"/>
    <w:rsid w:val="00BC2D67"/>
    <w:rsid w:val="00BF017F"/>
    <w:rsid w:val="00BF1357"/>
    <w:rsid w:val="00BF6FA3"/>
    <w:rsid w:val="00C018B2"/>
    <w:rsid w:val="00C121E0"/>
    <w:rsid w:val="00C15D55"/>
    <w:rsid w:val="00C17386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CF79B5"/>
    <w:rsid w:val="00D105DF"/>
    <w:rsid w:val="00D12C87"/>
    <w:rsid w:val="00D26D48"/>
    <w:rsid w:val="00D26EEE"/>
    <w:rsid w:val="00D67B11"/>
    <w:rsid w:val="00D7386B"/>
    <w:rsid w:val="00D8211D"/>
    <w:rsid w:val="00D852D6"/>
    <w:rsid w:val="00D9612E"/>
    <w:rsid w:val="00DA4C7E"/>
    <w:rsid w:val="00DB4B64"/>
    <w:rsid w:val="00DD5A4F"/>
    <w:rsid w:val="00DF760B"/>
    <w:rsid w:val="00E22452"/>
    <w:rsid w:val="00E27B26"/>
    <w:rsid w:val="00E457EF"/>
    <w:rsid w:val="00E45891"/>
    <w:rsid w:val="00E5003C"/>
    <w:rsid w:val="00E53DAA"/>
    <w:rsid w:val="00E65DEB"/>
    <w:rsid w:val="00E67305"/>
    <w:rsid w:val="00EA77D3"/>
    <w:rsid w:val="00EB1FA3"/>
    <w:rsid w:val="00EE0C18"/>
    <w:rsid w:val="00EE1D6A"/>
    <w:rsid w:val="00EE53F3"/>
    <w:rsid w:val="00EE5A74"/>
    <w:rsid w:val="00EE64A0"/>
    <w:rsid w:val="00EF0149"/>
    <w:rsid w:val="00EF0AF4"/>
    <w:rsid w:val="00F07217"/>
    <w:rsid w:val="00F27212"/>
    <w:rsid w:val="00F45E23"/>
    <w:rsid w:val="00F47EC2"/>
    <w:rsid w:val="00F51F3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aliases w:val="Questions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aliases w:val="Questions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548D5"/>
    <w:pPr>
      <w:widowControl w:val="0"/>
      <w:autoSpaceDE w:val="0"/>
      <w:autoSpaceDN w:val="0"/>
      <w:spacing w:after="0" w:line="276" w:lineRule="auto"/>
    </w:pPr>
    <w:rPr>
      <w:i/>
      <w:iCs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gehill.ac.uk/event/religious-education-summer-school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edgehill.ac.uk/event/in-conversation-with-a-trans-catholic-teacher/?utm_source=ehuacuk&amp;utm_medium=shorturl&amp;utm_campaign=georgewhite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re-hubs.uk/hubs/north-west/event-calendar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atre.org.uk/courses-events/upcoming-courses-events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Paul Smalley</cp:lastModifiedBy>
  <cp:revision>2</cp:revision>
  <cp:lastPrinted>2023-05-18T14:08:00Z</cp:lastPrinted>
  <dcterms:created xsi:type="dcterms:W3CDTF">2024-04-12T08:35:00Z</dcterms:created>
  <dcterms:modified xsi:type="dcterms:W3CDTF">2024-04-12T08:35:00Z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