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483.0" w:type="dxa"/>
        <w:jc w:val="left"/>
        <w:tblInd w:w="-436.0" w:type="dxa"/>
        <w:tblLayout w:type="fixed"/>
        <w:tblLook w:val="0400"/>
      </w:tblPr>
      <w:tblGrid>
        <w:gridCol w:w="1887"/>
        <w:gridCol w:w="905"/>
        <w:gridCol w:w="1687"/>
        <w:gridCol w:w="1133"/>
        <w:gridCol w:w="557"/>
        <w:gridCol w:w="1719"/>
        <w:gridCol w:w="575"/>
        <w:gridCol w:w="1124"/>
        <w:gridCol w:w="1896"/>
        <w:tblGridChange w:id="0">
          <w:tblGrid>
            <w:gridCol w:w="1887"/>
            <w:gridCol w:w="905"/>
            <w:gridCol w:w="1687"/>
            <w:gridCol w:w="1133"/>
            <w:gridCol w:w="557"/>
            <w:gridCol w:w="1719"/>
            <w:gridCol w:w="575"/>
            <w:gridCol w:w="1124"/>
            <w:gridCol w:w="1896"/>
          </w:tblGrid>
        </w:tblGridChange>
      </w:tblGrid>
      <w:tr>
        <w:trPr>
          <w:cantSplit w:val="0"/>
          <w:trHeight w:val="680" w:hRule="atLeast"/>
          <w:tblHeader w:val="0"/>
        </w:trPr>
        <w:tc>
          <w:tcPr>
            <w:gridSpan w:val="9"/>
            <w:tcBorders>
              <w:top w:color="000000" w:space="0" w:sz="4" w:val="single"/>
              <w:left w:color="000000" w:space="0" w:sz="4" w:val="single"/>
              <w:bottom w:color="000000" w:space="0" w:sz="4" w:val="single"/>
              <w:right w:color="000000" w:space="0" w:sz="4" w:val="single"/>
            </w:tcBorders>
            <w:shd w:fill="7030a0" w:val="clear"/>
          </w:tcPr>
          <w:p w:rsidR="00000000" w:rsidDel="00000000" w:rsidP="00000000" w:rsidRDefault="00000000" w:rsidRPr="00000000" w14:paraId="00000002">
            <w:pPr>
              <w:jc w:val="center"/>
              <w:rPr>
                <w:rFonts w:ascii="Cambria" w:cs="Cambria" w:eastAsia="Cambria" w:hAnsi="Cambria"/>
                <w:b w:val="1"/>
                <w:color w:val="ffffff"/>
                <w:sz w:val="20"/>
                <w:szCs w:val="20"/>
              </w:rPr>
            </w:pPr>
            <w:bookmarkStart w:colFirst="0" w:colLast="0" w:name="_gjdgxs" w:id="0"/>
            <w:bookmarkEnd w:id="0"/>
            <w:r w:rsidDel="00000000" w:rsidR="00000000" w:rsidRPr="00000000">
              <w:rPr>
                <w:rFonts w:ascii="Cambria" w:cs="Cambria" w:eastAsia="Cambria" w:hAnsi="Cambria"/>
                <w:b w:val="1"/>
                <w:color w:val="ffffff"/>
                <w:sz w:val="20"/>
                <w:szCs w:val="20"/>
                <w:rtl w:val="0"/>
              </w:rPr>
              <w:t xml:space="preserve">Welcome to the mentor Weekly Development Summary from the Department of Secondary and Further Education</w:t>
            </w:r>
          </w:p>
          <w:p w:rsidR="00000000" w:rsidDel="00000000" w:rsidP="00000000" w:rsidRDefault="00000000" w:rsidRPr="00000000" w14:paraId="00000003">
            <w:pPr>
              <w:jc w:val="center"/>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(AY 23/24)</w:t>
            </w:r>
          </w:p>
          <w:p w:rsidR="00000000" w:rsidDel="00000000" w:rsidP="00000000" w:rsidRDefault="00000000" w:rsidRPr="00000000" w14:paraId="00000004">
            <w:pPr>
              <w:jc w:val="center"/>
              <w:rPr>
                <w:rFonts w:ascii="Cambria" w:cs="Cambria" w:eastAsia="Cambria" w:hAnsi="Cambria"/>
                <w:b w:val="1"/>
                <w:sz w:val="20"/>
                <w:szCs w:val="20"/>
              </w:rPr>
            </w:pPr>
            <w:r w:rsidDel="00000000" w:rsidR="00000000" w:rsidRPr="00000000">
              <w:rPr>
                <w:rFonts w:ascii="Cambria" w:cs="Cambria" w:eastAsia="Cambria" w:hAnsi="Cambria"/>
                <w:b w:val="1"/>
                <w:color w:val="ffffff"/>
                <w:sz w:val="20"/>
                <w:szCs w:val="20"/>
                <w:rtl w:val="0"/>
              </w:rPr>
              <w:t xml:space="preserve">Week 37</w:t>
            </w:r>
            <w:r w:rsidDel="00000000" w:rsidR="00000000" w:rsidRPr="00000000">
              <w:rPr>
                <w:rtl w:val="0"/>
              </w:rPr>
            </w:r>
          </w:p>
        </w:tc>
      </w:tr>
      <w:tr>
        <w:trPr>
          <w:cantSplit w:val="0"/>
          <w:trHeight w:val="650" w:hRule="atLeast"/>
          <w:tblHeader w:val="0"/>
        </w:trPr>
        <w:tc>
          <w:tcPr>
            <w:gridSpan w:val="9"/>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0D">
            <w:pPr>
              <w:jc w:val="both"/>
              <w:rPr>
                <w:b w:val="1"/>
              </w:rPr>
            </w:pPr>
            <w:r w:rsidDel="00000000" w:rsidR="00000000" w:rsidRPr="00000000">
              <w:rPr>
                <w:b w:val="1"/>
                <w:rtl w:val="0"/>
              </w:rPr>
              <w:t xml:space="preserve">Course: Secondary Computing (11-16) PGCE</w:t>
            </w:r>
          </w:p>
        </w:tc>
      </w:tr>
      <w:tr>
        <w:trPr>
          <w:cantSplit w:val="0"/>
          <w:trHeight w:val="126"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jc w:val="both"/>
              <w:rPr>
                <w:b w:val="1"/>
              </w:rPr>
            </w:pPr>
            <w:r w:rsidDel="00000000" w:rsidR="00000000" w:rsidRPr="00000000">
              <w:rPr>
                <w:b w:val="1"/>
                <w:rtl w:val="0"/>
              </w:rPr>
              <w:t xml:space="preserve">Name of trainee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jc w:val="both"/>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jc w:val="both"/>
              <w:rPr>
                <w:b w:val="1"/>
              </w:rPr>
            </w:pPr>
            <w:r w:rsidDel="00000000" w:rsidR="00000000" w:rsidRPr="00000000">
              <w:rPr>
                <w:b w:val="1"/>
                <w:rtl w:val="0"/>
              </w:rPr>
              <w:t xml:space="preserve">Trainee ID no.</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jc w:val="both"/>
              <w:rPr>
                <w:b w:val="1"/>
              </w:rPr>
            </w:pPr>
            <w:r w:rsidDel="00000000" w:rsidR="00000000" w:rsidRPr="00000000">
              <w:rPr>
                <w:rtl w:val="0"/>
              </w:rPr>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jc w:val="both"/>
              <w:rPr>
                <w:b w:val="1"/>
              </w:rPr>
            </w:pPr>
            <w:r w:rsidDel="00000000" w:rsidR="00000000" w:rsidRPr="00000000">
              <w:rPr>
                <w:b w:val="1"/>
                <w:rtl w:val="0"/>
              </w:rPr>
              <w:t xml:space="preserve">Name of mentor</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jc w:val="both"/>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jc w:val="both"/>
              <w:rPr>
                <w:b w:val="1"/>
              </w:rPr>
            </w:pPr>
            <w:r w:rsidDel="00000000" w:rsidR="00000000" w:rsidRPr="00000000">
              <w:rPr>
                <w:b w:val="1"/>
                <w:rtl w:val="0"/>
              </w:rPr>
              <w:t xml:space="preserve">Professional Practice phase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both"/>
              <w:rPr>
                <w:b w:val="1"/>
              </w:rPr>
            </w:pPr>
            <w:r w:rsidDel="00000000" w:rsidR="00000000" w:rsidRPr="00000000">
              <w:rPr>
                <w:b w:val="1"/>
                <w:rtl w:val="0"/>
              </w:rPr>
              <w:t xml:space="preserve">Consolidation</w:t>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both"/>
              <w:rPr>
                <w:b w:val="1"/>
              </w:rPr>
            </w:pPr>
            <w:r w:rsidDel="00000000" w:rsidR="00000000" w:rsidRPr="00000000">
              <w:rPr>
                <w:b w:val="1"/>
                <w:rtl w:val="0"/>
              </w:rPr>
              <w:t xml:space="preserve">Name of Link Tutor</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jc w:val="both"/>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jc w:val="both"/>
              <w:rPr>
                <w:b w:val="1"/>
              </w:rPr>
            </w:pPr>
            <w:r w:rsidDel="00000000" w:rsidR="00000000" w:rsidRPr="00000000">
              <w:rPr>
                <w:b w:val="1"/>
                <w:rtl w:val="0"/>
              </w:rPr>
              <w:t xml:space="preserve">Name of setting</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jc w:val="both"/>
              <w:rPr>
                <w:b w:val="1"/>
              </w:rPr>
            </w:pPr>
            <w:r w:rsidDel="00000000" w:rsidR="00000000" w:rsidRPr="00000000">
              <w:rPr>
                <w:rtl w:val="0"/>
              </w:rPr>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jc w:val="both"/>
              <w:rPr>
                <w:b w:val="1"/>
              </w:rPr>
            </w:pPr>
            <w:r w:rsidDel="00000000" w:rsidR="00000000" w:rsidRPr="00000000">
              <w:rPr>
                <w:b w:val="1"/>
                <w:rtl w:val="0"/>
              </w:rPr>
              <w:t xml:space="preserve">Programme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both"/>
              <w:rPr>
                <w:b w:val="1"/>
              </w:rPr>
            </w:pPr>
            <w:r w:rsidDel="00000000" w:rsidR="00000000" w:rsidRPr="00000000">
              <w:rPr>
                <w:b w:val="1"/>
                <w:rtl w:val="0"/>
              </w:rPr>
              <w:t xml:space="preserve">PGCE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jc w:val="both"/>
              <w:rPr>
                <w:b w:val="1"/>
              </w:rPr>
            </w:pPr>
            <w:r w:rsidDel="00000000" w:rsidR="00000000" w:rsidRPr="00000000">
              <w:rPr>
                <w:b w:val="1"/>
                <w:rtl w:val="0"/>
              </w:rPr>
              <w:t xml:space="preserve">Week beginning</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jc w:val="both"/>
              <w:rPr>
                <w:b w:val="1"/>
              </w:rPr>
            </w:pPr>
            <w:r w:rsidDel="00000000" w:rsidR="00000000" w:rsidRPr="00000000">
              <w:rPr>
                <w:rtl w:val="0"/>
              </w:rPr>
            </w:r>
          </w:p>
        </w:tc>
      </w:tr>
      <w:tr>
        <w:trPr>
          <w:cantSplit w:val="0"/>
          <w:trHeight w:val="1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jc w:val="center"/>
              <w:rPr>
                <w:b w:val="1"/>
              </w:rPr>
            </w:pPr>
            <w:r w:rsidDel="00000000" w:rsidR="00000000" w:rsidRPr="00000000">
              <w:rPr>
                <w:b w:val="1"/>
                <w:rtl w:val="0"/>
              </w:rPr>
              <w:t xml:space="preserve">Days trainee has attended this week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center"/>
              <w:rPr>
                <w:b w:val="1"/>
                <w:highlight w:val="green"/>
              </w:rPr>
            </w:pPr>
            <w:r w:rsidDel="00000000" w:rsidR="00000000" w:rsidRPr="00000000">
              <w:rPr>
                <w:b w:val="1"/>
                <w:highlight w:val="green"/>
                <w:rtl w:val="0"/>
              </w:rPr>
              <w:t xml:space="preserve">Monday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b w:val="1"/>
                <w:highlight w:val="green"/>
              </w:rPr>
            </w:pPr>
            <w:r w:rsidDel="00000000" w:rsidR="00000000" w:rsidRPr="00000000">
              <w:rPr>
                <w:b w:val="1"/>
                <w:highlight w:val="green"/>
                <w:rtl w:val="0"/>
              </w:rPr>
              <w:t xml:space="preserve">Tuesday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b w:val="1"/>
                <w:highlight w:val="green"/>
              </w:rPr>
            </w:pPr>
            <w:r w:rsidDel="00000000" w:rsidR="00000000" w:rsidRPr="00000000">
              <w:rPr>
                <w:b w:val="1"/>
                <w:highlight w:val="green"/>
                <w:rtl w:val="0"/>
              </w:rPr>
              <w:t xml:space="preserve">Wednesday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center"/>
              <w:rPr>
                <w:b w:val="1"/>
                <w:highlight w:val="green"/>
              </w:rPr>
            </w:pPr>
            <w:r w:rsidDel="00000000" w:rsidR="00000000" w:rsidRPr="00000000">
              <w:rPr>
                <w:b w:val="1"/>
                <w:highlight w:val="green"/>
                <w:rtl w:val="0"/>
              </w:rPr>
              <w:t xml:space="preserve">Thursday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center"/>
              <w:rPr>
                <w:b w:val="1"/>
                <w:highlight w:val="green"/>
              </w:rPr>
            </w:pPr>
            <w:r w:rsidDel="00000000" w:rsidR="00000000" w:rsidRPr="00000000">
              <w:rPr>
                <w:b w:val="1"/>
                <w:highlight w:val="green"/>
                <w:rtl w:val="0"/>
              </w:rPr>
              <w:t xml:space="preserve">Friday</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rPr>
                <w:b w:val="1"/>
              </w:rPr>
            </w:pPr>
            <w:r w:rsidDel="00000000" w:rsidR="00000000" w:rsidRPr="00000000">
              <w:rPr>
                <w:b w:val="1"/>
                <w:rtl w:val="0"/>
              </w:rPr>
              <w:t xml:space="preserve">Key reading for the week</w:t>
            </w:r>
          </w:p>
          <w:p w:rsidR="00000000" w:rsidDel="00000000" w:rsidP="00000000" w:rsidRDefault="00000000" w:rsidRPr="00000000" w14:paraId="00000044">
            <w:pPr>
              <w:jc w:val="center"/>
              <w:rPr>
                <w:b w:val="1"/>
              </w:rPr>
            </w:pPr>
            <w:r w:rsidDel="00000000" w:rsidR="00000000" w:rsidRPr="00000000">
              <w:rPr/>
              <w:drawing>
                <wp:inline distB="0" distT="0" distL="0" distR="0">
                  <wp:extent cx="633730" cy="633730"/>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33730" cy="633730"/>
                          </a:xfrm>
                          <a:prstGeom prst="rect"/>
                          <a:ln/>
                        </pic:spPr>
                      </pic:pic>
                    </a:graphicData>
                  </a:graphic>
                </wp:inline>
              </w:drawing>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Summary</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The study assesses the impact of professional development (PD) programs on student literacy in primary schools. Meta-analysis reveals a modest enhancement in literacy, particularly with shorter PD durations combined with high-quality content. Future research advocates for coaching-based programs, highlighting their potential for better outcomes. Cost-benefit analyses are recommended to evaluate PD effectiveness. The study advocates for focusing on phonological awareness, phonics, vocabulary, fluency, and comprehension. A Weight of Evidence (WOE) analysis underscores the importance of shorter, high-quality PD. In conclusion, rigorous and standardised PD approaches are urged to align with literacy goals and maximize effectiveness.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Limitations</w:t>
            </w:r>
          </w:p>
          <w:p w:rsidR="00000000" w:rsidDel="00000000" w:rsidP="00000000" w:rsidRDefault="00000000" w:rsidRPr="00000000" w14:paraId="00000049">
            <w:pPr>
              <w:jc w:val="both"/>
              <w:rPr/>
            </w:pPr>
            <w:r w:rsidDel="00000000" w:rsidR="00000000" w:rsidRPr="00000000">
              <w:rPr>
                <w:rtl w:val="0"/>
              </w:rPr>
              <w:t xml:space="preserve">The sample sizes selected were small, reporting issues were troublesome and variable, and there was also variability in PD quality and content.</w:t>
            </w:r>
          </w:p>
          <w:p w:rsidR="00000000" w:rsidDel="00000000" w:rsidP="00000000" w:rsidRDefault="00000000" w:rsidRPr="00000000" w14:paraId="0000004A">
            <w:pPr>
              <w:jc w:val="both"/>
              <w:rPr>
                <w:b w:val="1"/>
              </w:rPr>
            </w:pPr>
            <w:r w:rsidDel="00000000" w:rsidR="00000000" w:rsidRPr="00000000">
              <w:rPr>
                <w:b w:val="1"/>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Reference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Basma, B. &amp; Savage, R. (2018) Teacher Professional Development and Student Literacy Growth: a Systematic Review and Meta analysis. Education Psychology Review. 30: 457 </w:t>
            </w:r>
            <w:hyperlink r:id="rId7">
              <w:r w:rsidDel="00000000" w:rsidR="00000000" w:rsidRPr="00000000">
                <w:rPr>
                  <w:b w:val="1"/>
                  <w:color w:val="1155cc"/>
                  <w:u w:val="single"/>
                  <w:rtl w:val="0"/>
                </w:rPr>
                <w:t xml:space="preserve">https://doi.org/10.1007/s10648-017-9416-4</w:t>
              </w:r>
            </w:hyperlink>
            <w:r w:rsidDel="00000000" w:rsidR="00000000" w:rsidRPr="00000000">
              <w:rPr>
                <w:b w:val="1"/>
                <w:rtl w:val="0"/>
              </w:rPr>
              <w:t xml:space="preserve"> . [4012] </w:t>
            </w:r>
            <w:r w:rsidDel="00000000" w:rsidR="00000000" w:rsidRPr="00000000">
              <w:rPr>
                <w:rtl w:val="0"/>
              </w:rPr>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line="237" w:lineRule="auto"/>
              <w:jc w:val="center"/>
              <w:rPr>
                <w:b w:val="1"/>
              </w:rPr>
            </w:pPr>
            <w:r w:rsidDel="00000000" w:rsidR="00000000" w:rsidRPr="00000000">
              <w:rPr>
                <w:b w:val="1"/>
                <w:rtl w:val="0"/>
              </w:rPr>
              <w:t xml:space="preserve">Support for mentoring in this subject</w:t>
            </w:r>
          </w:p>
          <w:p w:rsidR="00000000" w:rsidDel="00000000" w:rsidP="00000000" w:rsidRDefault="00000000" w:rsidRPr="00000000" w14:paraId="00000055">
            <w:pPr>
              <w:spacing w:line="237" w:lineRule="auto"/>
              <w:jc w:val="center"/>
              <w:rPr>
                <w:b w:val="1"/>
              </w:rPr>
            </w:pPr>
            <w:r w:rsidDel="00000000" w:rsidR="00000000" w:rsidRPr="00000000">
              <w:rPr>
                <w:rtl w:val="0"/>
              </w:rPr>
            </w:r>
          </w:p>
          <w:p w:rsidR="00000000" w:rsidDel="00000000" w:rsidP="00000000" w:rsidRDefault="00000000" w:rsidRPr="00000000" w14:paraId="00000056">
            <w:pPr>
              <w:jc w:val="center"/>
              <w:rPr>
                <w:b w:val="1"/>
              </w:rPr>
            </w:pPr>
            <w:r w:rsidDel="00000000" w:rsidR="00000000" w:rsidRPr="00000000">
              <w:rPr/>
              <w:drawing>
                <wp:inline distB="0" distT="0" distL="0" distR="0">
                  <wp:extent cx="586105" cy="571500"/>
                  <wp:effectExtent b="0" l="0" r="0" t="0"/>
                  <wp:docPr id="3"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586105" cy="571500"/>
                          </a:xfrm>
                          <a:prstGeom prst="rect"/>
                          <a:ln/>
                        </pic:spPr>
                      </pic:pic>
                    </a:graphicData>
                  </a:graphic>
                </wp:inline>
              </w:drawing>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color w:val="201f1e"/>
                <w:rtl w:val="0"/>
              </w:rPr>
              <w:t xml:space="preserve">A reflective tool for both mentors and trainees, outlining approaches for the ECT year which can also be used to support ITE trainees who are on placement with colleagues in the future: </w:t>
            </w:r>
            <w:hyperlink r:id="rId9">
              <w:r w:rsidDel="00000000" w:rsidR="00000000" w:rsidRPr="00000000">
                <w:rPr>
                  <w:color w:val="1155cc"/>
                  <w:u w:val="single"/>
                  <w:rtl w:val="0"/>
                </w:rPr>
                <w:t xml:space="preserve">https://www.kcl.ac.uk/ecs/assets/guide-for-schools-august2021.pdf</w:t>
              </w:r>
            </w:hyperlink>
            <w:r w:rsidDel="00000000" w:rsidR="00000000" w:rsidRPr="00000000">
              <w:rPr>
                <w:color w:val="201f1e"/>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jc w:val="both"/>
              <w:rPr>
                <w:b w:val="1"/>
              </w:rPr>
            </w:pPr>
            <w:r w:rsidDel="00000000" w:rsidR="00000000" w:rsidRPr="00000000">
              <w:rPr>
                <w:rtl w:val="0"/>
              </w:rPr>
            </w:r>
          </w:p>
        </w:tc>
      </w:tr>
    </w:tbl>
    <w:p w:rsidR="00000000" w:rsidDel="00000000" w:rsidP="00000000" w:rsidRDefault="00000000" w:rsidRPr="00000000" w14:paraId="00000061">
      <w:pPr>
        <w:rPr/>
      </w:pPr>
      <w:r w:rsidDel="00000000" w:rsidR="00000000" w:rsidRPr="00000000">
        <w:br w:type="page"/>
      </w:r>
      <w:r w:rsidDel="00000000" w:rsidR="00000000" w:rsidRPr="00000000">
        <w:rPr>
          <w:rtl w:val="0"/>
        </w:rPr>
      </w:r>
    </w:p>
    <w:tbl>
      <w:tblPr>
        <w:tblStyle w:val="Table2"/>
        <w:tblW w:w="11483.000000000002" w:type="dxa"/>
        <w:jc w:val="left"/>
        <w:tblInd w:w="-436.0" w:type="dxa"/>
        <w:tblLayout w:type="fixed"/>
        <w:tblLook w:val="0400"/>
      </w:tblPr>
      <w:tblGrid>
        <w:gridCol w:w="1887"/>
        <w:gridCol w:w="4798"/>
        <w:gridCol w:w="4094"/>
        <w:gridCol w:w="47"/>
        <w:gridCol w:w="657"/>
        <w:tblGridChange w:id="0">
          <w:tblGrid>
            <w:gridCol w:w="1887"/>
            <w:gridCol w:w="4798"/>
            <w:gridCol w:w="4094"/>
            <w:gridCol w:w="47"/>
            <w:gridCol w:w="657"/>
          </w:tblGrid>
        </w:tblGridChange>
      </w:tblGrid>
      <w:tr>
        <w:trPr>
          <w:cantSplit w:val="0"/>
          <w:trHeight w:val="262"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2">
            <w:pPr>
              <w:spacing w:line="237" w:lineRule="auto"/>
              <w:jc w:val="center"/>
              <w:rPr>
                <w:b w:val="1"/>
              </w:rPr>
            </w:pPr>
            <w:r w:rsidDel="00000000" w:rsidR="00000000" w:rsidRPr="00000000">
              <w:rPr>
                <w:rtl w:val="0"/>
              </w:rPr>
            </w:r>
          </w:p>
          <w:p w:rsidR="00000000" w:rsidDel="00000000" w:rsidP="00000000" w:rsidRDefault="00000000" w:rsidRPr="00000000" w14:paraId="00000063">
            <w:pPr>
              <w:spacing w:line="237" w:lineRule="auto"/>
              <w:jc w:val="center"/>
              <w:rPr>
                <w:b w:val="1"/>
              </w:rPr>
            </w:pPr>
            <w:r w:rsidDel="00000000" w:rsidR="00000000" w:rsidRPr="00000000">
              <w:rPr>
                <w:rtl w:val="0"/>
              </w:rPr>
            </w:r>
          </w:p>
          <w:p w:rsidR="00000000" w:rsidDel="00000000" w:rsidP="00000000" w:rsidRDefault="00000000" w:rsidRPr="00000000" w14:paraId="00000064">
            <w:pPr>
              <w:spacing w:line="237" w:lineRule="auto"/>
              <w:jc w:val="center"/>
              <w:rPr>
                <w:b w:val="1"/>
              </w:rPr>
            </w:pPr>
            <w:r w:rsidDel="00000000" w:rsidR="00000000" w:rsidRPr="00000000">
              <w:rPr>
                <w:b w:val="1"/>
                <w:rtl w:val="0"/>
              </w:rPr>
              <w:t xml:space="preserve">Curriculum for the week</w:t>
            </w:r>
          </w:p>
          <w:p w:rsidR="00000000" w:rsidDel="00000000" w:rsidP="00000000" w:rsidRDefault="00000000" w:rsidRPr="00000000" w14:paraId="00000065">
            <w:pPr>
              <w:rPr/>
            </w:pPr>
            <w:r w:rsidDel="00000000" w:rsidR="00000000" w:rsidRPr="00000000">
              <w:rPr>
                <w:rtl w:val="0"/>
              </w:rPr>
              <w:t xml:space="preserve"> </w:t>
            </w:r>
          </w:p>
          <w:p w:rsidR="00000000" w:rsidDel="00000000" w:rsidP="00000000" w:rsidRDefault="00000000" w:rsidRPr="00000000" w14:paraId="00000066">
            <w:pPr>
              <w:tabs>
                <w:tab w:val="center" w:leader="none" w:pos="1069"/>
              </w:tabs>
              <w:jc w:val="center"/>
              <w:rPr/>
            </w:pPr>
            <w:r w:rsidDel="00000000" w:rsidR="00000000" w:rsidRPr="00000000">
              <w:rPr/>
              <w:drawing>
                <wp:inline distB="0" distT="0" distL="0" distR="0">
                  <wp:extent cx="543560" cy="543560"/>
                  <wp:effectExtent b="0" l="0" r="0" t="0"/>
                  <wp:docPr id="2"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543560" cy="543560"/>
                          </a:xfrm>
                          <a:prstGeom prst="rect"/>
                          <a:ln/>
                        </pic:spPr>
                      </pic:pic>
                    </a:graphicData>
                  </a:graphic>
                </wp:inline>
              </w:drawing>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7">
            <w:pPr>
              <w:rPr>
                <w:b w:val="1"/>
              </w:rPr>
            </w:pPr>
            <w:r w:rsidDel="00000000" w:rsidR="00000000" w:rsidRPr="00000000">
              <w:rPr>
                <w:b w:val="1"/>
                <w:rtl w:val="0"/>
              </w:rPr>
              <w:t xml:space="preserve">This week trainees should have demonstrated that they know:</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A">
            <w:pPr>
              <w:jc w:val="center"/>
              <w:rPr>
                <w:b w:val="1"/>
              </w:rPr>
            </w:pPr>
            <w:r w:rsidDel="00000000" w:rsidR="00000000" w:rsidRPr="00000000">
              <w:rPr>
                <w:b w:val="1"/>
                <w:rtl w:val="0"/>
              </w:rPr>
              <w:t xml:space="preserve">Y/N</w:t>
            </w:r>
          </w:p>
          <w:p w:rsidR="00000000" w:rsidDel="00000000" w:rsidP="00000000" w:rsidRDefault="00000000" w:rsidRPr="00000000" w14:paraId="0000006B">
            <w:pPr>
              <w:jc w:val="center"/>
              <w:rPr>
                <w:b w:val="1"/>
              </w:rPr>
            </w:pPr>
            <w:r w:rsidDel="00000000" w:rsidR="00000000" w:rsidRPr="00000000">
              <w:rPr>
                <w:rtl w:val="0"/>
              </w:rPr>
            </w:r>
          </w:p>
        </w:tc>
      </w:tr>
      <w:tr>
        <w:trPr>
          <w:cantSplit w:val="0"/>
          <w:trHeight w:val="549"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tl w:val="0"/>
              </w:rPr>
              <w:t xml:space="preserve">The importance of CPD beyond the PGCE. For example, looking ahead to Early Career Teaching, MA and Doctoral study.</w:t>
              <w:br w:type="textWrapping"/>
              <w:t xml:space="preserve">Reflective practice, supported by feedback from and observation of experienced colleagues, professional debate, and learning from educational research, is also likely to support improvement. </w:t>
              <w:br w:type="textWrapping"/>
              <w:t xml:space="preserve">Effective professional development is likely to be sustained over time, involve expert support or coaching and opportunities for collaboration.</w:t>
              <w:br w:type="textWrapping"/>
              <w:t xml:space="preserve">Ongoing CPD is important for professional and personal development in teaching e.g. NCCE, Examination Board training sessions, Computing at School hub meetings.</w:t>
              <w:br w:type="textWrapping"/>
              <w:t xml:space="preserve">Progression on ITE should underpin their development as Computing 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jc w:val="center"/>
              <w:rPr/>
            </w:pPr>
            <w:r w:rsidDel="00000000" w:rsidR="00000000" w:rsidRPr="00000000">
              <w:rPr>
                <w:b w:val="1"/>
                <w:rtl w:val="0"/>
              </w:rPr>
              <w:t xml:space="preserve">Y</w:t>
            </w:r>
            <w:r w:rsidDel="00000000" w:rsidR="00000000" w:rsidRPr="00000000">
              <w:rPr>
                <w:rtl w:val="0"/>
              </w:rPr>
            </w:r>
          </w:p>
        </w:tc>
      </w:tr>
      <w:tr>
        <w:trPr>
          <w:cantSplit w:val="0"/>
          <w:trHeight w:val="15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2">
            <w:pPr>
              <w:rPr>
                <w:b w:val="1"/>
              </w:rPr>
            </w:pPr>
            <w:r w:rsidDel="00000000" w:rsidR="00000000" w:rsidRPr="00000000">
              <w:rPr>
                <w:b w:val="1"/>
                <w:rtl w:val="0"/>
              </w:rPr>
              <w:t xml:space="preserve">This week trainees should have demonstrated that they know how to:</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5">
            <w:pPr>
              <w:jc w:val="center"/>
              <w:rPr>
                <w:b w:val="1"/>
              </w:rPr>
            </w:pPr>
            <w:r w:rsidDel="00000000" w:rsidR="00000000" w:rsidRPr="00000000">
              <w:rPr>
                <w:b w:val="1"/>
                <w:rtl w:val="0"/>
              </w:rPr>
              <w:t xml:space="preserve">Y/N</w:t>
            </w:r>
          </w:p>
          <w:p w:rsidR="00000000" w:rsidDel="00000000" w:rsidP="00000000" w:rsidRDefault="00000000" w:rsidRPr="00000000" w14:paraId="00000076">
            <w:pPr>
              <w:jc w:val="center"/>
              <w:rPr>
                <w:b w:val="1"/>
              </w:rPr>
            </w:pPr>
            <w:r w:rsidDel="00000000" w:rsidR="00000000" w:rsidRPr="00000000">
              <w:rPr>
                <w:rtl w:val="0"/>
              </w:rPr>
            </w:r>
          </w:p>
        </w:tc>
      </w:tr>
      <w:tr>
        <w:trPr>
          <w:cantSplit w:val="0"/>
          <w:trHeight w:val="15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t xml:space="preserve">Set targets and identity next steps for career/ECT progression.</w:t>
              <w:br w:type="textWrapping"/>
              <w:t xml:space="preserve">Work with mentors to develop effective relationships and act on the coaching support.</w:t>
              <w:br w:type="textWrapping"/>
              <w:t xml:space="preserve">Know that planning should always be underpinned by up-to-date scholarship or teaching becomes inaccurate and stale.</w:t>
              <w:br w:type="textWrapping"/>
              <w:t xml:space="preserve">Set targets and identity next steps for career/ECT progression.</w:t>
              <w:br w:type="textWrapping"/>
              <w:t xml:space="preserve">Reflect on your ongoing contribution to the effective working of computing department and materials to support further development.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center"/>
              <w:rPr>
                <w:b w:val="1"/>
              </w:rPr>
            </w:pPr>
            <w:r w:rsidDel="00000000" w:rsidR="00000000" w:rsidRPr="00000000">
              <w:rPr>
                <w:b w:val="1"/>
                <w:rtl w:val="0"/>
              </w:rPr>
              <w:t xml:space="preserve">Y</w:t>
            </w:r>
            <w:r w:rsidDel="00000000" w:rsidR="00000000" w:rsidRPr="00000000">
              <w:rPr>
                <w:rtl w:val="0"/>
              </w:rPr>
            </w:r>
          </w:p>
        </w:tc>
      </w:tr>
      <w:tr>
        <w:trPr>
          <w:cantSplit w:val="0"/>
          <w:trHeight w:val="2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line="237" w:lineRule="auto"/>
              <w:jc w:val="center"/>
              <w:rPr>
                <w:b w:val="1"/>
              </w:rPr>
            </w:pPr>
            <w:r w:rsidDel="00000000" w:rsidR="00000000" w:rsidRPr="00000000">
              <w:rPr>
                <w:b w:val="1"/>
                <w:rtl w:val="0"/>
              </w:rPr>
              <w:t xml:space="preserve">Questions for mentor and trainee to discuss in mentor meeting       </w:t>
            </w:r>
            <w:r w:rsidDel="00000000" w:rsidR="00000000" w:rsidRPr="00000000">
              <w:rPr/>
              <w:drawing>
                <wp:inline distB="0" distT="0" distL="0" distR="0">
                  <wp:extent cx="419100" cy="633311"/>
                  <wp:effectExtent b="0" l="0" r="0" t="0"/>
                  <wp:docPr id="5"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419100" cy="633311"/>
                          </a:xfrm>
                          <a:prstGeom prst="rect"/>
                          <a:ln/>
                        </pic:spPr>
                      </pic:pic>
                    </a:graphicData>
                  </a:graphic>
                </wp:inline>
              </w:drawing>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ind w:left="0" w:firstLine="0"/>
              <w:jc w:val="both"/>
              <w:rPr>
                <w:b w:val="1"/>
              </w:rPr>
            </w:pPr>
            <w:r w:rsidDel="00000000" w:rsidR="00000000" w:rsidRPr="00000000">
              <w:rPr>
                <w:b w:val="1"/>
                <w:rtl w:val="0"/>
              </w:rPr>
              <w:t xml:space="preserve">1. Outline how you have effectively worked with your mentor to develop a strong working relationship and act on the coaching support provided</w:t>
              <w:br w:type="textWrapping"/>
              <w:t xml:space="preserve">Mentor summary of trainee response: </w:t>
              <w:br w:type="textWrapping"/>
              <w:t xml:space="preserve">2.How do you ensure that your planning and teaching is always informed by up-to-date scholarship, research and resources within computing?</w:t>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Mentor summary of trainee response:</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16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237" w:lineRule="auto"/>
              <w:jc w:val="center"/>
              <w:rPr>
                <w:b w:val="1"/>
              </w:rPr>
            </w:pPr>
            <w:r w:rsidDel="00000000" w:rsidR="00000000" w:rsidRPr="00000000">
              <w:rPr>
                <w:b w:val="1"/>
                <w:rtl w:val="0"/>
              </w:rPr>
              <w:t xml:space="preserve">Additional notes from mentor meeting</w:t>
            </w:r>
          </w:p>
          <w:p w:rsidR="00000000" w:rsidDel="00000000" w:rsidP="00000000" w:rsidRDefault="00000000" w:rsidRPr="00000000" w14:paraId="00000084">
            <w:pPr>
              <w:spacing w:line="237" w:lineRule="auto"/>
              <w:jc w:val="center"/>
              <w:rPr>
                <w:b w:val="1"/>
              </w:rPr>
            </w:pPr>
            <w:r w:rsidDel="00000000" w:rsidR="00000000" w:rsidRPr="00000000">
              <w:rPr/>
              <w:drawing>
                <wp:inline distB="0" distT="0" distL="0" distR="0">
                  <wp:extent cx="421580" cy="436460"/>
                  <wp:effectExtent b="0" l="0" r="0" t="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21580" cy="43646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pacing w:line="237" w:lineRule="auto"/>
              <w:jc w:val="center"/>
              <w:rPr>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0"/>
                <w:i w:val="0"/>
                <w:smallCaps w:val="0"/>
                <w:strike w:val="0"/>
                <w:color w:val="201f1e"/>
                <w:sz w:val="22"/>
                <w:szCs w:val="22"/>
                <w:u w:val="none"/>
                <w:shd w:fill="auto" w:val="clear"/>
                <w:vertAlign w:val="baseline"/>
                <w:rtl w:val="0"/>
              </w:rPr>
              <w:t xml:space="preserve">For example, review of subject knowledge, relevant CPD, arrangements for upcoming lesson observation, school/department events etc.</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602"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E">
            <w:pPr>
              <w:spacing w:line="237" w:lineRule="auto"/>
              <w:jc w:val="center"/>
              <w:rPr>
                <w:b w:val="1"/>
              </w:rPr>
            </w:pPr>
            <w:r w:rsidDel="00000000" w:rsidR="00000000" w:rsidRPr="00000000">
              <w:rPr>
                <w:b w:val="1"/>
                <w:rtl w:val="0"/>
              </w:rPr>
              <w:t xml:space="preserve">Trainee workload and well-being</w:t>
            </w:r>
            <w:r w:rsidDel="00000000" w:rsidR="00000000" w:rsidRPr="00000000">
              <w:rPr/>
              <w:drawing>
                <wp:inline distB="0" distT="0" distL="0" distR="0">
                  <wp:extent cx="610344" cy="610344"/>
                  <wp:effectExtent b="0" l="0" r="0" t="0"/>
                  <wp:docPr id="7"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10344" cy="610344"/>
                          </a:xfrm>
                          <a:prstGeom prst="rect"/>
                          <a:ln/>
                        </pic:spPr>
                      </pic:pic>
                    </a:graphicData>
                  </a:graphic>
                </wp:inline>
              </w:drawing>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b w:val="1"/>
              </w:rPr>
            </w:pPr>
            <w:r w:rsidDel="00000000" w:rsidR="00000000" w:rsidRPr="00000000">
              <w:rPr>
                <w:b w:val="1"/>
                <w:rtl w:val="0"/>
              </w:rPr>
              <w:t xml:space="preserve">Have strategies for workload been discussed?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jc w:val="center"/>
              <w:rPr>
                <w:b w:val="1"/>
              </w:rPr>
            </w:pPr>
            <w:r w:rsidDel="00000000" w:rsidR="00000000" w:rsidRPr="00000000">
              <w:rPr>
                <w:b w:val="1"/>
                <w:rtl w:val="0"/>
              </w:rPr>
              <w:t xml:space="preserve">Y</w:t>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Actions or follow up (if needed)</w:t>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Has the trainee’s wellbeing been discussed?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center"/>
              <w:rPr>
                <w:b w:val="1"/>
              </w:rPr>
            </w:pPr>
            <w:r w:rsidDel="00000000" w:rsidR="00000000" w:rsidRPr="00000000">
              <w:rPr>
                <w:b w:val="1"/>
                <w:rtl w:val="0"/>
              </w:rPr>
              <w:t xml:space="preserve">Y</w:t>
            </w:r>
          </w:p>
        </w:tc>
      </w:tr>
      <w:tr>
        <w:trPr>
          <w:cantSplit w:val="0"/>
          <w:trHeight w:val="602" w:hRule="atLeast"/>
          <w:tblHeader w:val="0"/>
        </w:trPr>
        <w:tc>
          <w:tcPr>
            <w:tcBorders>
              <w:left w:color="000000" w:space="0" w:sz="4" w:val="single"/>
              <w:right w:color="000000" w:space="0" w:sz="4" w:val="single"/>
            </w:tcBorders>
          </w:tcPr>
          <w:p w:rsidR="00000000" w:rsidDel="00000000" w:rsidP="00000000" w:rsidRDefault="00000000" w:rsidRPr="00000000" w14:paraId="0000009D">
            <w:pPr>
              <w:spacing w:line="237" w:lineRule="auto"/>
              <w:rPr>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Actions or follow up (if needed)</w:t>
            </w:r>
          </w:p>
        </w:tc>
      </w:tr>
      <w:tr>
        <w:trPr>
          <w:cantSplit w:val="0"/>
          <w:trHeight w:val="301"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A2">
            <w:pPr>
              <w:spacing w:line="237" w:lineRule="auto"/>
              <w:jc w:val="center"/>
              <w:rPr>
                <w:b w:val="1"/>
              </w:rPr>
            </w:pPr>
            <w:r w:rsidDel="00000000" w:rsidR="00000000" w:rsidRPr="00000000">
              <w:rPr>
                <w:b w:val="1"/>
                <w:rtl w:val="0"/>
              </w:rPr>
              <w:t xml:space="preserve">Opportunities identified for progress</w:t>
            </w:r>
            <w:r w:rsidDel="00000000" w:rsidR="00000000" w:rsidRPr="00000000">
              <w:rPr/>
              <w:drawing>
                <wp:inline distB="0" distT="0" distL="0" distR="0">
                  <wp:extent cx="635790" cy="660339"/>
                  <wp:effectExtent b="0" l="0" r="0" t="0"/>
                  <wp:docPr id="6"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635790" cy="660339"/>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To make progress through the curriculum the trainee needs to:</w:t>
            </w:r>
          </w:p>
        </w:tc>
        <w:tc>
          <w:tcPr>
            <w:gridSpan w:val="3"/>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Opportunity agrees for trainee to practise, observe, or receive feedback on this target</w:t>
            </w:r>
          </w:p>
        </w:tc>
      </w:tr>
      <w:tr>
        <w:trPr>
          <w:cantSplit w:val="0"/>
          <w:trHeight w:val="30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2.</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Fonts w:ascii="Calibri" w:cs="Calibri" w:eastAsia="Calibri" w:hAnsi="Calibri"/>
                <w:b w:val="1"/>
                <w:i w:val="0"/>
                <w:smallCaps w:val="0"/>
                <w:strike w:val="0"/>
                <w:color w:val="201f1e"/>
                <w:sz w:val="22"/>
                <w:szCs w:val="22"/>
                <w:u w:val="none"/>
                <w:shd w:fill="auto" w:val="clear"/>
                <w:vertAlign w:val="baseline"/>
                <w:rtl w:val="0"/>
              </w:rPr>
              <w:t xml:space="preserve">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201f1e"/>
                <w:sz w:val="22"/>
                <w:szCs w:val="22"/>
                <w:u w:val="none"/>
                <w:shd w:fill="auto" w:val="clear"/>
                <w:vertAlign w:val="baseline"/>
              </w:rPr>
            </w:pPr>
            <w:r w:rsidDel="00000000" w:rsidR="00000000" w:rsidRPr="00000000">
              <w:rPr>
                <w:rtl w:val="0"/>
              </w:rPr>
            </w:r>
          </w:p>
        </w:tc>
      </w:tr>
      <w:tr>
        <w:trPr>
          <w:cantSplit w:val="0"/>
          <w:trHeight w:val="413"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B6">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Current progress would suggest that the trainee is making sufficient progress through the curriculum to proceed:</w:t>
            </w:r>
          </w:p>
          <w:p w:rsidR="00000000" w:rsidDel="00000000" w:rsidP="00000000" w:rsidRDefault="00000000" w:rsidRPr="00000000" w14:paraId="000000B7">
            <w:pPr>
              <w:rPr>
                <w:rFonts w:ascii="Cambria" w:cs="Cambria" w:eastAsia="Cambria" w:hAnsi="Cambria"/>
                <w:b w:val="1"/>
                <w:sz w:val="20"/>
                <w:szCs w:val="20"/>
              </w:rPr>
            </w:pP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Cambria" w:cs="Cambria" w:eastAsia="Cambria" w:hAnsi="Cambria"/>
                <w:b w:val="1"/>
                <w:sz w:val="20"/>
                <w:szCs w:val="20"/>
                <w:rtl w:val="0"/>
              </w:rPr>
              <w:t xml:space="preserve"> Yes, trainee is making sufficient progress through the curriculum.</w:t>
            </w:r>
          </w:p>
          <w:p w:rsidR="00000000" w:rsidDel="00000000" w:rsidP="00000000" w:rsidRDefault="00000000" w:rsidRPr="00000000" w14:paraId="000000B8">
            <w:pPr>
              <w:rPr>
                <w:rFonts w:ascii="Cambria" w:cs="Cambria" w:eastAsia="Cambria" w:hAnsi="Cambria"/>
                <w:b w:val="1"/>
                <w:sz w:val="20"/>
                <w:szCs w:val="20"/>
              </w:rPr>
            </w:pP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Cambria" w:cs="Cambria" w:eastAsia="Cambria" w:hAnsi="Cambria"/>
                <w:b w:val="1"/>
                <w:sz w:val="20"/>
                <w:szCs w:val="20"/>
                <w:rtl w:val="0"/>
              </w:rPr>
              <w:t xml:space="preserve">  Yes, trainee is making sufficient progress through the curriculum, but this has required additional support </w:t>
            </w:r>
            <w:r w:rsidDel="00000000" w:rsidR="00000000" w:rsidRPr="00000000">
              <w:rPr>
                <w:rFonts w:ascii="Cambria" w:cs="Cambria" w:eastAsia="Cambria" w:hAnsi="Cambria"/>
                <w:b w:val="1"/>
                <w:sz w:val="14"/>
                <w:szCs w:val="14"/>
                <w:rtl w:val="0"/>
              </w:rPr>
              <w:t xml:space="preserve">(please list the additional support provided below. For example, a reduction in teaching load, additional meetings, use of team-teaching etc</w:t>
            </w:r>
            <w:r w:rsidDel="00000000" w:rsidR="00000000" w:rsidRPr="00000000">
              <w:rPr>
                <w:rFonts w:ascii="Cambria" w:cs="Cambria" w:eastAsia="Cambria" w:hAnsi="Cambria"/>
                <w:b w:val="1"/>
                <w:sz w:val="20"/>
                <w:szCs w:val="20"/>
                <w:rtl w:val="0"/>
              </w:rPr>
              <w:t xml:space="preserve">).</w:t>
            </w:r>
          </w:p>
          <w:p w:rsidR="00000000" w:rsidDel="00000000" w:rsidP="00000000" w:rsidRDefault="00000000" w:rsidRPr="00000000" w14:paraId="000000B9">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BA">
            <w:pP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BB">
            <w:pPr>
              <w:rPr>
                <w:rFonts w:ascii="Georgia" w:cs="Georgia" w:eastAsia="Georgia" w:hAnsi="Georgia"/>
                <w:b w:val="1"/>
                <w:sz w:val="24"/>
                <w:szCs w:val="24"/>
              </w:rPr>
            </w:pPr>
            <w:r w:rsidDel="00000000" w:rsidR="00000000" w:rsidRPr="00000000">
              <w:rPr>
                <w:rFonts w:ascii="Arial Unicode MS" w:cs="Arial Unicode MS" w:eastAsia="Arial Unicode MS" w:hAnsi="Arial Unicode MS"/>
                <w:b w:val="1"/>
                <w:sz w:val="20"/>
                <w:szCs w:val="20"/>
                <w:rtl w:val="0"/>
              </w:rPr>
              <w:t xml:space="preserve">☐</w:t>
            </w:r>
            <w:r w:rsidDel="00000000" w:rsidR="00000000" w:rsidRPr="00000000">
              <w:rPr>
                <w:rFonts w:ascii="Cambria" w:cs="Cambria" w:eastAsia="Cambria" w:hAnsi="Cambria"/>
                <w:b w:val="1"/>
                <w:sz w:val="20"/>
                <w:szCs w:val="20"/>
                <w:rtl w:val="0"/>
              </w:rPr>
              <w:t xml:space="preserve">  No, despite additional support the trainee is not making sufficient progress through the curriculum. A Progress Support Plan should be considered.</w:t>
            </w:r>
            <w:r w:rsidDel="00000000" w:rsidR="00000000" w:rsidRPr="00000000">
              <w:rPr>
                <w:rFonts w:ascii="Georgia" w:cs="Georgia" w:eastAsia="Georgia" w:hAnsi="Georgia"/>
                <w:b w:val="1"/>
                <w:sz w:val="24"/>
                <w:szCs w:val="24"/>
                <w:rtl w:val="0"/>
              </w:rPr>
              <w:t xml:space="preserve"> </w:t>
            </w:r>
          </w:p>
        </w:tc>
      </w:tr>
    </w:tbl>
    <w:p w:rsidR="00000000" w:rsidDel="00000000" w:rsidP="00000000" w:rsidRDefault="00000000" w:rsidRPr="00000000" w14:paraId="000000C0">
      <w:pPr>
        <w:spacing w:after="0" w:lineRule="auto"/>
        <w:rPr/>
      </w:pPr>
      <w:r w:rsidDel="00000000" w:rsidR="00000000" w:rsidRPr="00000000">
        <w:rPr>
          <w:rtl w:val="0"/>
        </w:rPr>
      </w:r>
    </w:p>
    <w:tbl>
      <w:tblPr>
        <w:tblStyle w:val="Table3"/>
        <w:tblW w:w="11483.0" w:type="dxa"/>
        <w:jc w:val="left"/>
        <w:tblInd w:w="-441.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6" w:val="single"/>
        </w:tblBorders>
        <w:tblLayout w:type="fixed"/>
        <w:tblLook w:val="0600"/>
      </w:tblPr>
      <w:tblGrid>
        <w:gridCol w:w="2411"/>
        <w:gridCol w:w="9072"/>
        <w:tblGridChange w:id="0">
          <w:tblGrid>
            <w:gridCol w:w="2411"/>
            <w:gridCol w:w="9072"/>
          </w:tblGrid>
        </w:tblGridChange>
      </w:tblGrid>
      <w:tr>
        <w:trPr>
          <w:cantSplit w:val="0"/>
          <w:trHeight w:val="448" w:hRule="atLeast"/>
          <w:tblHeader w:val="0"/>
        </w:trPr>
        <w:tc>
          <w:tcPr>
            <w:shd w:fill="b4c6e7" w:val="clear"/>
          </w:tcPr>
          <w:p w:rsidR="00000000" w:rsidDel="00000000" w:rsidP="00000000" w:rsidRDefault="00000000" w:rsidRPr="00000000" w14:paraId="000000C1">
            <w:pPr>
              <w:spacing w:after="0" w:line="240" w:lineRule="auto"/>
              <w:rPr>
                <w:rFonts w:ascii="Cambria" w:cs="Cambria" w:eastAsia="Cambria" w:hAnsi="Cambria"/>
              </w:rPr>
            </w:pPr>
            <w:r w:rsidDel="00000000" w:rsidR="00000000" w:rsidRPr="00000000">
              <w:rPr>
                <w:rFonts w:ascii="Cambria" w:cs="Cambria" w:eastAsia="Cambria" w:hAnsi="Cambria"/>
                <w:b w:val="1"/>
                <w:rtl w:val="0"/>
              </w:rPr>
              <w:t xml:space="preserve">Mentor </w:t>
            </w:r>
            <w:r w:rsidDel="00000000" w:rsidR="00000000" w:rsidRPr="00000000">
              <w:rPr>
                <w:rFonts w:ascii="Cambria" w:cs="Cambria" w:eastAsia="Cambria" w:hAnsi="Cambria"/>
                <w:rtl w:val="0"/>
              </w:rPr>
              <w:t xml:space="preserve">Signature</w:t>
            </w:r>
          </w:p>
          <w:p w:rsidR="00000000" w:rsidDel="00000000" w:rsidP="00000000" w:rsidRDefault="00000000" w:rsidRPr="00000000" w14:paraId="000000C2">
            <w:pPr>
              <w:spacing w:after="0" w:line="240" w:lineRule="auto"/>
              <w:rPr>
                <w:rFonts w:ascii="Cambria" w:cs="Cambria" w:eastAsia="Cambria" w:hAnsi="Cambria"/>
                <w:b w:val="1"/>
              </w:rPr>
            </w:pPr>
            <w:r w:rsidDel="00000000" w:rsidR="00000000" w:rsidRPr="00000000">
              <w:rPr>
                <w:rtl w:val="0"/>
              </w:rPr>
            </w:r>
          </w:p>
        </w:tc>
        <w:tc>
          <w:tcPr>
            <w:vAlign w:val="center"/>
          </w:tcPr>
          <w:p w:rsidR="00000000" w:rsidDel="00000000" w:rsidP="00000000" w:rsidRDefault="00000000" w:rsidRPr="00000000" w14:paraId="000000C3">
            <w:pPr>
              <w:spacing w:after="0" w:line="240" w:lineRule="auto"/>
              <w:rPr>
                <w:rFonts w:ascii="Cambria" w:cs="Cambria" w:eastAsia="Cambria" w:hAnsi="Cambria"/>
              </w:rPr>
            </w:pPr>
            <w:r w:rsidDel="00000000" w:rsidR="00000000" w:rsidRPr="00000000">
              <w:rPr>
                <w:rtl w:val="0"/>
              </w:rPr>
            </w:r>
          </w:p>
        </w:tc>
      </w:tr>
      <w:tr>
        <w:trPr>
          <w:cantSplit w:val="0"/>
          <w:trHeight w:val="448" w:hRule="atLeast"/>
          <w:tblHeader w:val="0"/>
        </w:trPr>
        <w:tc>
          <w:tcPr>
            <w:shd w:fill="b4c6e7" w:val="clear"/>
          </w:tcPr>
          <w:p w:rsidR="00000000" w:rsidDel="00000000" w:rsidP="00000000" w:rsidRDefault="00000000" w:rsidRPr="00000000" w14:paraId="000000C4">
            <w:pPr>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Trainee </w:t>
            </w:r>
            <w:r w:rsidDel="00000000" w:rsidR="00000000" w:rsidRPr="00000000">
              <w:rPr>
                <w:rFonts w:ascii="Cambria" w:cs="Cambria" w:eastAsia="Cambria" w:hAnsi="Cambria"/>
                <w:rtl w:val="0"/>
              </w:rPr>
              <w:t xml:space="preserve">Signature</w:t>
            </w:r>
            <w:r w:rsidDel="00000000" w:rsidR="00000000" w:rsidRPr="00000000">
              <w:rPr>
                <w:rtl w:val="0"/>
              </w:rPr>
            </w:r>
          </w:p>
          <w:p w:rsidR="00000000" w:rsidDel="00000000" w:rsidP="00000000" w:rsidRDefault="00000000" w:rsidRPr="00000000" w14:paraId="000000C5">
            <w:pPr>
              <w:spacing w:after="0" w:line="240" w:lineRule="auto"/>
              <w:rPr>
                <w:rFonts w:ascii="Cambria" w:cs="Cambria" w:eastAsia="Cambria" w:hAnsi="Cambria"/>
                <w:b w:val="1"/>
              </w:rPr>
            </w:pPr>
            <w:r w:rsidDel="00000000" w:rsidR="00000000" w:rsidRPr="00000000">
              <w:rPr>
                <w:rtl w:val="0"/>
              </w:rPr>
            </w:r>
          </w:p>
        </w:tc>
        <w:tc>
          <w:tcPr>
            <w:vAlign w:val="center"/>
          </w:tcPr>
          <w:p w:rsidR="00000000" w:rsidDel="00000000" w:rsidP="00000000" w:rsidRDefault="00000000" w:rsidRPr="00000000" w14:paraId="000000C6">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rHeight w:val="448" w:hRule="atLeast"/>
          <w:tblHeader w:val="0"/>
        </w:trPr>
        <w:tc>
          <w:tcPr>
            <w:gridSpan w:val="2"/>
            <w:shd w:fill="auto" w:val="clear"/>
          </w:tcPr>
          <w:p w:rsidR="00000000" w:rsidDel="00000000" w:rsidP="00000000" w:rsidRDefault="00000000" w:rsidRPr="00000000" w14:paraId="000000C7">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Trainees should ensure this WDS is submitted by the deadline for the purpose of formative assessment. Failure to do prevents the Link Tutor from assessing their progress and may result in the trainee being placed on a Progress Support Plan.</w:t>
            </w:r>
          </w:p>
        </w:tc>
      </w:tr>
    </w:tbl>
    <w:p w:rsidR="00000000" w:rsidDel="00000000" w:rsidP="00000000" w:rsidRDefault="00000000" w:rsidRPr="00000000" w14:paraId="000000C9">
      <w:pPr>
        <w:spacing w:after="0" w:lineRule="auto"/>
        <w:rPr/>
      </w:pPr>
      <w:r w:rsidDel="00000000" w:rsidR="00000000" w:rsidRPr="00000000">
        <w:rPr>
          <w:rtl w:val="0"/>
        </w:rPr>
      </w:r>
    </w:p>
    <w:sectPr>
      <w:headerReference r:id="rId15" w:type="default"/>
      <w:footerReference r:id="rId1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-133302</wp:posOffset>
          </wp:positionV>
          <wp:extent cx="2297685" cy="419100"/>
          <wp:effectExtent b="0" l="0" r="0" t="0"/>
          <wp:wrapSquare wrapText="bothSides" distB="0" distT="0" distL="114300" distR="114300"/>
          <wp:docPr id="8"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2297685" cy="419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45.0" w:type="dxa"/>
        <w:left w:w="98.0" w:type="dxa"/>
        <w:bottom w:w="0.0" w:type="dxa"/>
        <w:right w:w="68.0" w:type="dxa"/>
      </w:tblCellMar>
    </w:tblPr>
  </w:style>
  <w:style w:type="table" w:styleId="Table2">
    <w:basedOn w:val="TableNormal"/>
    <w:pPr>
      <w:spacing w:after="0" w:line="240" w:lineRule="auto"/>
    </w:pPr>
    <w:tblPr>
      <w:tblStyleRowBandSize w:val="1"/>
      <w:tblStyleColBandSize w:val="1"/>
      <w:tblCellMar>
        <w:top w:w="145.0" w:type="dxa"/>
        <w:left w:w="98.0" w:type="dxa"/>
        <w:bottom w:w="0.0" w:type="dxa"/>
        <w:right w:w="6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8.png"/><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cl.ac.uk/ecs/assets/guide-for-schools-august2021.pdf" TargetMode="External"/><Relationship Id="rId15" Type="http://schemas.openxmlformats.org/officeDocument/2006/relationships/header" Target="header1.xml"/><Relationship Id="rId14" Type="http://schemas.openxmlformats.org/officeDocument/2006/relationships/image" Target="media/image7.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doi.org/10.1007/s10648-017-9416-4" TargetMode="External"/><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