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48E170DD"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135E8198">
            <w:pPr>
              <w:jc w:val="center"/>
              <w:rPr>
                <w:rFonts w:ascii="Cambria" w:hAnsi="Cambria" w:eastAsia="Georgia" w:cs="Georgia"/>
                <w:b w:val="1"/>
                <w:bCs w:val="1"/>
                <w:color w:val="FFFFFF" w:themeColor="background1"/>
                <w:sz w:val="20"/>
                <w:szCs w:val="20"/>
                <w:u w:val="single"/>
              </w:rPr>
            </w:pPr>
            <w:r w:rsidRPr="48E170DD"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48E170DD" w:rsidR="2154FD0C">
              <w:rPr>
                <w:rFonts w:ascii="Cambria" w:hAnsi="Cambria" w:eastAsia="Georgia" w:cs="Georgia"/>
                <w:b w:val="1"/>
                <w:bCs w:val="1"/>
                <w:color w:val="FFFFFF" w:themeColor="background1" w:themeTint="FF" w:themeShade="FF"/>
                <w:sz w:val="20"/>
                <w:szCs w:val="20"/>
              </w:rPr>
              <w:t xml:space="preserve"> (AY 2</w:t>
            </w:r>
            <w:r w:rsidRPr="48E170DD" w:rsidR="4894EDFF">
              <w:rPr>
                <w:rFonts w:ascii="Cambria" w:hAnsi="Cambria" w:eastAsia="Georgia" w:cs="Georgia"/>
                <w:b w:val="1"/>
                <w:bCs w:val="1"/>
                <w:color w:val="FFFFFF" w:themeColor="background1" w:themeTint="FF" w:themeShade="FF"/>
                <w:sz w:val="20"/>
                <w:szCs w:val="20"/>
              </w:rPr>
              <w:t>3</w:t>
            </w:r>
            <w:r w:rsidRPr="48E170DD" w:rsidR="2154FD0C">
              <w:rPr>
                <w:rFonts w:ascii="Cambria" w:hAnsi="Cambria" w:eastAsia="Georgia" w:cs="Georgia"/>
                <w:b w:val="1"/>
                <w:bCs w:val="1"/>
                <w:color w:val="FFFFFF" w:themeColor="background1" w:themeTint="FF" w:themeShade="FF"/>
                <w:sz w:val="20"/>
                <w:szCs w:val="20"/>
              </w:rPr>
              <w:t>/2</w:t>
            </w:r>
            <w:r w:rsidRPr="48E170DD" w:rsidR="4894EDFF">
              <w:rPr>
                <w:rFonts w:ascii="Cambria" w:hAnsi="Cambria" w:eastAsia="Georgia" w:cs="Georgia"/>
                <w:b w:val="1"/>
                <w:bCs w:val="1"/>
                <w:color w:val="FFFFFF" w:themeColor="background1" w:themeTint="FF" w:themeShade="FF"/>
                <w:sz w:val="20"/>
                <w:szCs w:val="20"/>
              </w:rPr>
              <w:t>4</w:t>
            </w:r>
            <w:r w:rsidRPr="48E170DD" w:rsidR="2154FD0C">
              <w:rPr>
                <w:rFonts w:ascii="Cambria" w:hAnsi="Cambria" w:eastAsia="Georgia" w:cs="Georgia"/>
                <w:b w:val="1"/>
                <w:bCs w:val="1"/>
                <w:color w:val="FFFFFF" w:themeColor="background1" w:themeTint="FF" w:themeShade="FF"/>
                <w:sz w:val="20"/>
                <w:szCs w:val="20"/>
              </w:rPr>
              <w:t>)</w:t>
            </w:r>
            <w:r w:rsidRPr="48E170DD" w:rsidR="28E81556">
              <w:rPr>
                <w:rFonts w:ascii="Cambria" w:hAnsi="Cambria" w:eastAsia="Georgia" w:cs="Georgia"/>
                <w:b w:val="1"/>
                <w:bCs w:val="1"/>
                <w:color w:val="FFFFFF" w:themeColor="background1" w:themeTint="FF" w:themeShade="FF"/>
                <w:sz w:val="20"/>
                <w:szCs w:val="20"/>
              </w:rPr>
              <w:t xml:space="preserve"> </w:t>
            </w:r>
            <w:r w:rsidRPr="48E170DD" w:rsidR="55B6CDEB">
              <w:rPr>
                <w:rFonts w:ascii="Cambria" w:hAnsi="Cambria" w:eastAsia="Georgia" w:cs="Georgia"/>
                <w:b w:val="1"/>
                <w:bCs w:val="1"/>
                <w:color w:val="auto"/>
                <w:sz w:val="20"/>
                <w:szCs w:val="20"/>
                <w:u w:val="single"/>
              </w:rPr>
              <w:t xml:space="preserve"> </w:t>
            </w:r>
            <w:r w:rsidRPr="48E170DD" w:rsidR="55B6CDEB">
              <w:rPr>
                <w:rFonts w:ascii="Cambria" w:hAnsi="Cambria" w:eastAsia="Georgia" w:cs="Georgia"/>
                <w:b w:val="1"/>
                <w:bCs w:val="1"/>
                <w:color w:val="FFFFFF" w:themeColor="background1" w:themeTint="FF" w:themeShade="FF"/>
                <w:sz w:val="20"/>
                <w:szCs w:val="20"/>
                <w:u w:val="single"/>
              </w:rPr>
              <w:t>Week</w:t>
            </w:r>
            <w:r w:rsidRPr="48E170DD" w:rsidR="70FCA47A">
              <w:rPr>
                <w:rFonts w:ascii="Cambria" w:hAnsi="Cambria" w:eastAsia="Georgia" w:cs="Georgia"/>
                <w:b w:val="1"/>
                <w:bCs w:val="1"/>
                <w:color w:val="FFFFFF" w:themeColor="background1" w:themeTint="FF" w:themeShade="FF"/>
                <w:sz w:val="20"/>
                <w:szCs w:val="20"/>
                <w:u w:val="single"/>
              </w:rPr>
              <w:t xml:space="preserve"> 3</w:t>
            </w:r>
            <w:r w:rsidRPr="48E170DD" w:rsidR="37F642E4">
              <w:rPr>
                <w:rFonts w:ascii="Cambria" w:hAnsi="Cambria" w:eastAsia="Georgia" w:cs="Georgia"/>
                <w:b w:val="1"/>
                <w:bCs w:val="1"/>
                <w:color w:val="FFFFFF" w:themeColor="background1" w:themeTint="FF" w:themeShade="FF"/>
                <w:sz w:val="20"/>
                <w:szCs w:val="20"/>
                <w:u w:val="single"/>
              </w:rPr>
              <w:t>8</w:t>
            </w:r>
          </w:p>
        </w:tc>
      </w:tr>
      <w:tr w:rsidRPr="00F07217" w:rsidR="00E65DEB" w:rsidTr="48E170DD"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23037FB7">
            <w:pPr>
              <w:jc w:val="both"/>
              <w:rPr>
                <w:rFonts w:ascii="Cambria" w:hAnsi="Cambria"/>
                <w:b w:val="1"/>
                <w:bCs w:val="1"/>
                <w:sz w:val="20"/>
                <w:szCs w:val="20"/>
              </w:rPr>
            </w:pPr>
            <w:r w:rsidRPr="41D56B59" w:rsidR="00606867">
              <w:rPr>
                <w:rFonts w:ascii="Cambria" w:hAnsi="Cambria"/>
                <w:b w:val="1"/>
                <w:bCs w:val="1"/>
                <w:sz w:val="20"/>
                <w:szCs w:val="20"/>
              </w:rPr>
              <w:t>Course:</w:t>
            </w:r>
            <w:r w:rsidRPr="41D56B59" w:rsidR="00866227">
              <w:rPr>
                <w:rFonts w:ascii="Cambria" w:hAnsi="Cambria"/>
                <w:b w:val="1"/>
                <w:bCs w:val="1"/>
                <w:sz w:val="20"/>
                <w:szCs w:val="20"/>
              </w:rPr>
              <w:t xml:space="preserve"> </w:t>
            </w:r>
            <w:r w:rsidRPr="41D56B59" w:rsidR="5E3AB1F5">
              <w:rPr>
                <w:rFonts w:ascii="Cambria" w:hAnsi="Cambria"/>
                <w:b w:val="1"/>
                <w:bCs w:val="1"/>
                <w:sz w:val="20"/>
                <w:szCs w:val="20"/>
              </w:rPr>
              <w:t>History</w:t>
            </w:r>
            <w:r w:rsidRPr="41D56B59" w:rsidR="00B56665">
              <w:rPr>
                <w:rFonts w:ascii="Cambria" w:hAnsi="Cambria"/>
                <w:b w:val="1"/>
                <w:bCs w:val="1"/>
                <w:sz w:val="20"/>
                <w:szCs w:val="20"/>
              </w:rPr>
              <w:t xml:space="preserv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48E170DD"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48E170DD"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7C1CC30" w:rsidRDefault="00B56665" w14:paraId="7061C386" w14:textId="594687E3">
            <w:pPr>
              <w:pStyle w:val="Normal"/>
              <w:suppressLineNumbers w:val="0"/>
              <w:bidi w:val="0"/>
              <w:spacing w:before="0" w:beforeAutospacing="off" w:after="0" w:afterAutospacing="off" w:line="259" w:lineRule="auto"/>
              <w:ind w:left="0" w:right="0"/>
              <w:jc w:val="both"/>
              <w:rPr/>
            </w:pPr>
            <w:r w:rsidRPr="07C1CC30" w:rsidR="318E1FF3">
              <w:rPr>
                <w:rFonts w:ascii="Cambria" w:hAnsi="Cambria"/>
                <w:b w:val="1"/>
                <w:bCs w:val="1"/>
                <w:sz w:val="20"/>
                <w:szCs w:val="20"/>
              </w:rPr>
              <w:t>Consolidation</w:t>
            </w:r>
          </w:p>
        </w:tc>
      </w:tr>
      <w:tr w:rsidRPr="00F07217" w:rsidR="004009A7" w:rsidTr="48E170DD"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48E170DD"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60644428" w:rsidRDefault="59B9767D" w14:paraId="2E3558FD" w14:textId="2053A28B">
            <w:pPr>
              <w:pStyle w:val="Normal"/>
              <w:suppressLineNumbers w:val="0"/>
              <w:bidi w:val="0"/>
              <w:spacing w:before="0" w:beforeAutospacing="off" w:after="0" w:afterAutospacing="off" w:line="259" w:lineRule="auto"/>
              <w:ind w:left="0" w:right="0"/>
              <w:jc w:val="both"/>
              <w:rPr>
                <w:rFonts w:ascii="Cambria" w:hAnsi="Cambria"/>
                <w:b w:val="1"/>
                <w:bCs w:val="1"/>
                <w:sz w:val="20"/>
                <w:szCs w:val="20"/>
              </w:rPr>
            </w:pPr>
            <w:r w:rsidRPr="48E170DD" w:rsidR="472FC759">
              <w:rPr>
                <w:rFonts w:ascii="Cambria" w:hAnsi="Cambria"/>
                <w:b w:val="1"/>
                <w:bCs w:val="1"/>
                <w:sz w:val="20"/>
                <w:szCs w:val="20"/>
              </w:rPr>
              <w:t>13</w:t>
            </w:r>
            <w:r w:rsidRPr="48E170DD" w:rsidR="5C6E916B">
              <w:rPr>
                <w:rFonts w:ascii="Cambria" w:hAnsi="Cambria"/>
                <w:b w:val="1"/>
                <w:bCs w:val="1"/>
                <w:sz w:val="20"/>
                <w:szCs w:val="20"/>
              </w:rPr>
              <w:t>/5/24</w:t>
            </w:r>
          </w:p>
        </w:tc>
      </w:tr>
      <w:tr w:rsidRPr="00F07217" w:rsidR="001506CA" w:rsidTr="48E170DD"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48E170DD" w:rsidRDefault="001506CA" w14:paraId="02A5213D" w14:textId="596149F4">
            <w:pPr>
              <w:jc w:val="center"/>
              <w:rPr>
                <w:rFonts w:ascii="Cambria" w:hAnsi="Cambria"/>
                <w:b w:val="1"/>
                <w:bCs w:val="1"/>
                <w:sz w:val="20"/>
                <w:szCs w:val="20"/>
                <w:highlight w:val="yellow"/>
              </w:rPr>
            </w:pPr>
            <w:r w:rsidRPr="48E170DD" w:rsidR="001506CA">
              <w:rPr>
                <w:rFonts w:ascii="Cambria" w:hAnsi="Cambria"/>
                <w:b w:val="1"/>
                <w:bCs w:val="1"/>
                <w:sz w:val="20"/>
                <w:szCs w:val="20"/>
                <w:highlight w:val="yellow"/>
              </w:rPr>
              <w:t>M</w:t>
            </w:r>
            <w:r w:rsidRPr="48E170DD" w:rsidR="005113AE">
              <w:rPr>
                <w:rFonts w:ascii="Cambria" w:hAnsi="Cambria"/>
                <w:b w:val="1"/>
                <w:bCs w:val="1"/>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3D307C68" w:rsidRDefault="005113AE" w14:paraId="13F8C042" w14:textId="5CF285E3">
            <w:pPr>
              <w:jc w:val="center"/>
              <w:rPr>
                <w:rFonts w:ascii="Cambria" w:hAnsi="Cambria"/>
                <w:b w:val="1"/>
                <w:bCs w:val="1"/>
                <w:sz w:val="20"/>
                <w:szCs w:val="20"/>
                <w:highlight w:val="yellow"/>
              </w:rPr>
            </w:pPr>
            <w:r w:rsidRPr="3D307C68" w:rsidR="005113AE">
              <w:rPr>
                <w:rFonts w:ascii="Cambria" w:hAnsi="Cambria"/>
                <w:b w:val="1"/>
                <w:bCs w:val="1"/>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48E170DD" w14:paraId="0EB57F5F" w14:textId="77777777">
        <w:trPr>
          <w:trHeight w:val="1695"/>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7C7D8C57" w:rsidP="48E170DD" w:rsidRDefault="7C7D8C57" w14:paraId="74D2C982" w14:textId="0B3A56CF">
            <w:pPr>
              <w:pStyle w:val="Normal"/>
              <w:shd w:val="clear" w:color="auto" w:fill="FFFFFF" w:themeFill="background1"/>
              <w:spacing w:before="0" w:beforeAutospacing="off" w:after="0" w:afterAutospacing="off"/>
              <w:jc w:val="left"/>
            </w:pP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Blatchford, P., Bassett, P., Brown, P., Martin, C., Russell, A., &amp; Webster, R. (2009) Deployment and impact of support staff in schools: Characteristics, Working Conditions and Job Satisfaction of Support Staff in Schools.</w:t>
            </w:r>
          </w:p>
          <w:p w:rsidR="48E170DD" w:rsidP="48E170DD" w:rsidRDefault="48E170DD" w14:paraId="509AF70A" w14:textId="6CE9BF81">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2F843E41" w:rsidP="48E170DD" w:rsidRDefault="2F843E41" w14:paraId="4209798C" w14:textId="5876AEDA">
            <w:pPr>
              <w:pStyle w:val="Normal"/>
              <w:shd w:val="clear" w:color="auto" w:fill="FFFFFF" w:themeFill="background1"/>
              <w:spacing w:before="0" w:beforeAutospacing="off" w:after="0" w:afterAutospacing="off"/>
              <w:jc w:val="left"/>
              <w:rPr>
                <w:rFonts w:ascii="Segoe UI Symbol" w:hAnsi="Segoe UI Symbol" w:eastAsia="Segoe UI Symbol" w:cs="Segoe UI Symbol"/>
                <w:noProof w:val="0"/>
                <w:sz w:val="24"/>
                <w:szCs w:val="24"/>
                <w:lang w:val="en-GB"/>
              </w:rPr>
            </w:pPr>
            <w:hyperlink r:id="R61f09d40fd8941cc">
              <w:r w:rsidRPr="48E170DD" w:rsidR="2F843E41">
                <w:rPr>
                  <w:rStyle w:val="Hyperlink"/>
                  <w:noProof w:val="0"/>
                  <w:lang w:val="en-GB"/>
                </w:rPr>
                <w:t>DCSF-RR005.pdf (ioe.ac.uk)</w:t>
              </w:r>
            </w:hyperlink>
          </w:p>
          <w:p w:rsidR="48E170DD" w:rsidP="48E170DD" w:rsidRDefault="48E170DD" w14:paraId="77BB347B" w14:textId="6E70676A">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7C7D8C57" w:rsidP="48E170DD" w:rsidRDefault="7C7D8C57" w14:paraId="1F9ED264" w14:textId="6CC9C58B">
            <w:pPr>
              <w:pStyle w:val="Normal"/>
              <w:suppressLineNumbers w:val="0"/>
              <w:shd w:val="clear" w:color="auto" w:fill="FFFFFF" w:themeFill="background1"/>
              <w:bidi w:val="0"/>
              <w:spacing w:before="0" w:beforeAutospacing="off" w:after="0" w:afterAutospacing="off" w:line="259" w:lineRule="auto"/>
              <w:ind w:left="0" w:right="0"/>
              <w:jc w:val="left"/>
            </w:pPr>
            <w:r w:rsidRPr="48E170DD" w:rsidR="7C7D8C57">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t>Summary</w:t>
            </w:r>
          </w:p>
          <w:p w:rsidR="48E170DD" w:rsidP="48E170DD" w:rsidRDefault="48E170DD" w14:paraId="3B3C3735" w14:textId="32C93FC1">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48E170DD" w:rsidP="48E170DD" w:rsidRDefault="48E170DD" w14:paraId="61D15596" w14:textId="7CD19FA6">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7C7D8C57" w:rsidP="48E170DD" w:rsidRDefault="7C7D8C57" w14:paraId="738FFAD7" w14:textId="00F556F6">
            <w:pPr>
              <w:pStyle w:val="Normal"/>
              <w:shd w:val="clear" w:color="auto" w:fill="FFFFFF" w:themeFill="background1"/>
              <w:spacing w:before="0" w:beforeAutospacing="off" w:after="0" w:afterAutospacing="off"/>
              <w:jc w:val="left"/>
            </w:pP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The DISS project revealed that a government initiative and funding resulted in a significant increase in Teaching Assistants (TAs) from 2003 to 2006, mostly female and aged 36 or older, with concerns about job dissatisfaction and lack of preparedness. TAs played a crucial role in direct learning support but faced challenges </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regarding</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role clarity and support. While they positively </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impacted</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teachers' workload, a negative correlation between support received and pupil progress was noted. The concept of the Wider Pedagogical Role (WPR) highlighted the complexity of support staff's impact on academic progress, emphasising the need for improved training and communication. Despite deployment challenges, research </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indicates</w:t>
            </w: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that with proper guidance, support staff can enhance teaching and learning outcomes.</w:t>
            </w:r>
          </w:p>
          <w:p w:rsidR="48E170DD" w:rsidP="48E170DD" w:rsidRDefault="48E170DD" w14:paraId="19C5904F" w14:textId="5C07E330">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7C7D8C57" w:rsidP="48E170DD" w:rsidRDefault="7C7D8C57" w14:paraId="7B80A7BA" w14:textId="50FF4745">
            <w:pPr>
              <w:pStyle w:val="Normal"/>
              <w:shd w:val="clear" w:color="auto" w:fill="FFFFFF" w:themeFill="background1"/>
              <w:spacing w:before="0" w:beforeAutospacing="off" w:after="0" w:afterAutospacing="off"/>
              <w:jc w:val="left"/>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pPr>
            <w:r w:rsidRPr="48E170DD" w:rsidR="7C7D8C57">
              <w:rPr>
                <w:rFonts w:ascii="Segoe UI Symbol" w:hAnsi="Segoe UI Symbol" w:eastAsia="Segoe UI Symbol" w:cs="Segoe UI Symbol"/>
                <w:b w:val="1"/>
                <w:bCs w:val="1"/>
                <w:i w:val="0"/>
                <w:iCs w:val="0"/>
                <w:caps w:val="0"/>
                <w:smallCaps w:val="0"/>
                <w:noProof w:val="0"/>
                <w:color w:val="000000" w:themeColor="text1" w:themeTint="FF" w:themeShade="FF"/>
                <w:sz w:val="24"/>
                <w:szCs w:val="24"/>
                <w:lang w:val="en-GB"/>
              </w:rPr>
              <w:t>Limitations</w:t>
            </w:r>
          </w:p>
          <w:p w:rsidR="48E170DD" w:rsidP="48E170DD" w:rsidRDefault="48E170DD" w14:paraId="665BDCD6" w14:textId="406D73D8">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7C7D8C57" w:rsidP="48E170DD" w:rsidRDefault="7C7D8C57" w14:paraId="31DAC8D4" w14:textId="366F4488">
            <w:pPr>
              <w:pStyle w:val="Normal"/>
              <w:shd w:val="clear" w:color="auto" w:fill="FFFFFF" w:themeFill="background1"/>
              <w:spacing w:before="0" w:beforeAutospacing="off" w:after="0" w:afterAutospacing="off"/>
              <w:jc w:val="left"/>
            </w:pPr>
            <w:r w:rsidRPr="48E170DD" w:rsidR="7C7D8C57">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The research is taken from 2009, a lot has changed in education, we now have Higher Level Teaching Assistants highlighting clear progression routes for TAs. Also, the researchers may have interpreted the data to fit a certain narrative, i.e. not cost effective.</w:t>
            </w:r>
          </w:p>
          <w:p w:rsidR="48E170DD" w:rsidP="48E170DD" w:rsidRDefault="48E170DD" w14:paraId="3D66A99E" w14:textId="406D9544">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60644428" w:rsidP="60644428" w:rsidRDefault="60644428" w14:paraId="4D733D6B" w14:textId="6E9F7879">
            <w:pPr>
              <w:pStyle w:val="Normal"/>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66116E50" w:rsidRDefault="0022901E" w14:paraId="387C8138" w14:textId="3A3E24E5">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tc>
      </w:tr>
      <w:tr w:rsidRPr="00F07217" w:rsidR="00B5000E" w:rsidTr="48E170DD"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710EC6F0" w:rsidP="48E170DD" w:rsidRDefault="710EC6F0" w14:paraId="242FEB03" w14:textId="0B2F245D">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48E170DD" w:rsidR="710EC6F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Burn, K., ‘The power of knowledge: the impact on history teachers of sustained subject-rich professional development</w:t>
            </w:r>
            <w:r w:rsidRPr="48E170DD" w:rsidR="710EC6F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w:t>
            </w:r>
            <w:r w:rsidRPr="48E170DD" w:rsidR="710EC6F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in ‘Knowing History in Schools</w:t>
            </w:r>
            <w:r w:rsidRPr="48E170DD" w:rsidR="710EC6F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w:t>
            </w:r>
            <w:r w:rsidRPr="48E170DD" w:rsidR="710EC6F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edited by A Chapman, UCL Press, 2021, pages 129-152</w:t>
            </w:r>
          </w:p>
          <w:p w:rsidR="48E170DD" w:rsidP="48E170DD" w:rsidRDefault="48E170DD" w14:paraId="71D57CBF" w14:textId="7949B8CF">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2DE6DF56" w:rsidP="48E170DD" w:rsidRDefault="2DE6DF56" w14:paraId="17FAE25F" w14:textId="3E5E3DA5">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hyperlink r:id="R4a892b6961ed4e70">
              <w:r w:rsidRPr="48E170DD" w:rsidR="2DE6DF56">
                <w:rPr>
                  <w:rStyle w:val="Hyperlink"/>
                  <w:b w:val="0"/>
                  <w:bCs w:val="0"/>
                  <w:i w:val="0"/>
                  <w:iCs w:val="0"/>
                  <w:caps w:val="0"/>
                  <w:smallCaps w:val="0"/>
                  <w:noProof w:val="0"/>
                  <w:lang w:val="en-GB"/>
                </w:rPr>
                <w:t>https://edgehill.on.worldcat.org/oclc/1229088598</w:t>
              </w:r>
            </w:hyperlink>
          </w:p>
          <w:p w:rsidR="48E170DD" w:rsidP="48E170DD" w:rsidRDefault="48E170DD" w14:paraId="748B2FEE" w14:textId="52EBE1A1">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2DE6DF56" w:rsidP="48E170DD" w:rsidRDefault="2DE6DF56" w14:paraId="6BD78DEA" w14:textId="1C61B71B">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48E170DD" w:rsidR="2DE6DF56">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Knowing History in Schools explores how we can best understand knowledge-building in history education and aims to navigate the challenges that knowledge-building processes pose for learning history in schools. Crucially, it aims to help history education students, history teachers, teacher educators and history curriculum designers navigate the challenges that knowledge-building processes pose for learning history in schools.</w:t>
            </w:r>
          </w:p>
          <w:p w:rsidR="48E170DD" w:rsidP="48E170DD" w:rsidRDefault="48E170DD" w14:paraId="6F42A820" w14:textId="389BF12F">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96374D" w:rsidR="007F45A4" w:rsidP="60644428" w:rsidRDefault="007F45A4" w14:paraId="02295E43" w14:textId="7B3634F1">
            <w:pPr>
              <w:pStyle w:val="NormalWeb"/>
              <w:suppressLineNumbers w:val="0"/>
              <w:shd w:val="clear" w:color="auto" w:fill="FFFFFF" w:themeFill="background1"/>
              <w:bidi w:val="0"/>
              <w:spacing w:before="0" w:beforeAutospacing="off" w:after="0" w:afterAutospacing="off" w:line="240"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tc>
      </w:tr>
      <w:tr w:rsidRPr="00F07217" w:rsidR="00403E3F" w:rsidTr="48E170DD"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48E170DD"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Pr="00523D39" w:rsidR="00CB44DE" w:rsidP="48E170DD" w:rsidRDefault="00CB44DE" w14:paraId="431ED9B4" w14:textId="7CAE83C4">
            <w:pPr>
              <w:pStyle w:val="ListParagraph"/>
              <w:numPr>
                <w:ilvl w:val="0"/>
                <w:numId w:val="34"/>
              </w:numPr>
              <w:suppressLineNumbers w:val="0"/>
              <w:bidi w:val="0"/>
              <w:spacing w:before="0" w:beforeAutospacing="off" w:after="0" w:afterAutospacing="off" w:line="259" w:lineRule="auto"/>
              <w:rPr>
                <w:rFonts w:ascii="Segoe UI Symbol" w:hAnsi="Segoe UI Symbol" w:eastAsia="Segoe UI Symbol" w:cs="Segoe UI Symbol"/>
                <w:noProof w:val="0"/>
                <w:sz w:val="24"/>
                <w:szCs w:val="24"/>
                <w:lang w:val="en-GB"/>
              </w:rPr>
            </w:pPr>
            <w:r w:rsidRPr="48E170DD" w:rsidR="1E637CF1">
              <w:rPr>
                <w:rFonts w:ascii="Segoe UI Symbol" w:hAnsi="Segoe UI Symbol" w:eastAsia="Segoe UI Symbol" w:cs="Segoe UI Symbol"/>
                <w:noProof w:val="0"/>
                <w:sz w:val="24"/>
                <w:szCs w:val="24"/>
                <w:lang w:val="en-GB"/>
              </w:rPr>
              <w:t>The importance of engaging parents/carers in the education of their children (including effective use of parents’ evenings) and the value of understanding pupils’ individual circumstances that ensure high academic and behavioural expectations and proactively highlight success.</w:t>
            </w:r>
          </w:p>
          <w:p w:rsidRPr="00523D39" w:rsidR="00CB44DE" w:rsidP="48E170DD" w:rsidRDefault="00CB44DE" w14:paraId="56A85010" w14:textId="36A53909">
            <w:pPr>
              <w:pStyle w:val="Normal"/>
              <w:suppressLineNumbers w:val="0"/>
              <w:bidi w:val="0"/>
              <w:spacing w:before="0" w:beforeAutospacing="off" w:after="0" w:afterAutospacing="off" w:line="259" w:lineRule="auto"/>
              <w:ind w:left="0"/>
              <w:rPr>
                <w:rFonts w:ascii="Segoe UI Symbol" w:hAnsi="Segoe UI Symbol" w:eastAsia="Segoe UI Symbol" w:cs="Segoe UI Symbol"/>
                <w:noProof w:val="0"/>
                <w:sz w:val="24"/>
                <w:szCs w:val="24"/>
                <w:lang w:val="en-GB"/>
              </w:rPr>
            </w:pPr>
          </w:p>
          <w:p w:rsidRPr="00523D39" w:rsidR="00CB44DE" w:rsidP="48E170DD" w:rsidRDefault="00CB44DE" w14:paraId="439E1D02" w14:textId="3D8DEACC">
            <w:pPr>
              <w:pStyle w:val="ListParagraph"/>
              <w:numPr>
                <w:ilvl w:val="0"/>
                <w:numId w:val="34"/>
              </w:numPr>
              <w:bidi w:val="0"/>
              <w:rPr>
                <w:rFonts w:ascii="Segoe UI Symbol" w:hAnsi="Segoe UI Symbol" w:eastAsia="Segoe UI Symbol" w:cs="Segoe UI Symbol"/>
                <w:sz w:val="24"/>
                <w:szCs w:val="24"/>
              </w:rPr>
            </w:pPr>
            <w:r w:rsidRPr="48E170DD" w:rsidR="1E637CF1">
              <w:rPr>
                <w:rFonts w:ascii="Segoe UI Symbol" w:hAnsi="Segoe UI Symbol" w:eastAsia="Segoe UI Symbol" w:cs="Segoe UI Symbol"/>
                <w:sz w:val="24"/>
                <w:szCs w:val="24"/>
              </w:rPr>
              <w:t>Strategies to build effective working relationships by working with colleagues as part of a team</w:t>
            </w:r>
          </w:p>
          <w:p w:rsidRPr="00523D39" w:rsidR="00CB44DE" w:rsidP="48E170DD" w:rsidRDefault="00CB44DE" w14:paraId="4E488AE5" w14:textId="593A5EB1">
            <w:pPr>
              <w:pStyle w:val="Normal"/>
              <w:suppressLineNumbers w:val="0"/>
              <w:bidi w:val="0"/>
              <w:spacing w:before="0" w:beforeAutospacing="off" w:after="0" w:afterAutospacing="off" w:line="259" w:lineRule="auto"/>
              <w:ind w:left="0"/>
              <w:rPr>
                <w:rFonts w:ascii="Segoe UI Symbol" w:hAnsi="Segoe UI Symbol" w:eastAsia="Segoe UI Symbol" w:cs="Segoe UI Symbol"/>
                <w:noProof w:val="0"/>
                <w:sz w:val="24"/>
                <w:szCs w:val="24"/>
                <w:shd w:val="clear" w:color="auto" w:fill="FFFFFF"/>
                <w:lang w:val="en-GB"/>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48E170DD"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48E170DD"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7DB5EF89" w:rsidP="48E170DD" w:rsidRDefault="7DB5EF89" w14:paraId="5CAE4148" w14:textId="426DFD0E">
            <w:pPr>
              <w:pStyle w:val="ListParagraph"/>
              <w:numPr>
                <w:ilvl w:val="0"/>
                <w:numId w:val="3"/>
              </w:numPr>
              <w:rPr>
                <w:rFonts w:ascii="Segoe UI Symbol" w:hAnsi="Segoe UI Symbol" w:eastAsia="Segoe UI Symbol" w:cs="Segoe UI Symbol"/>
                <w:sz w:val="24"/>
                <w:szCs w:val="24"/>
              </w:rPr>
            </w:pPr>
            <w:r w:rsidRPr="48E170DD" w:rsidR="7DB5EF89">
              <w:rPr>
                <w:rFonts w:ascii="Segoe UI Symbol" w:hAnsi="Segoe UI Symbol" w:eastAsia="Segoe UI Symbol" w:cs="Segoe UI Symbol"/>
                <w:sz w:val="24"/>
                <w:szCs w:val="24"/>
              </w:rPr>
              <w:t>Consider the development of professional relationships within your wider department and school teams, in addition to those with pupils/parents/carers</w:t>
            </w:r>
          </w:p>
          <w:p w:rsidR="48E170DD" w:rsidP="48E170DD" w:rsidRDefault="48E170DD" w14:paraId="1AA0DD40" w14:textId="7079BC9F">
            <w:pPr>
              <w:pStyle w:val="Normal"/>
              <w:ind w:left="0"/>
              <w:rPr>
                <w:rFonts w:ascii="Segoe UI Symbol" w:hAnsi="Segoe UI Symbol" w:eastAsia="Segoe UI Symbol" w:cs="Segoe UI Symbol"/>
                <w:sz w:val="24"/>
                <w:szCs w:val="24"/>
              </w:rPr>
            </w:pPr>
          </w:p>
          <w:p w:rsidR="7DB5EF89" w:rsidP="48E170DD" w:rsidRDefault="7DB5EF89" w14:paraId="66CE0A90" w14:textId="1B7D9B43">
            <w:pPr>
              <w:pStyle w:val="ListParagraph"/>
              <w:numPr>
                <w:ilvl w:val="0"/>
                <w:numId w:val="3"/>
              </w:numPr>
              <w:rPr>
                <w:rFonts w:ascii="Segoe UI Symbol" w:hAnsi="Segoe UI Symbol" w:eastAsia="Segoe UI Symbol" w:cs="Segoe UI Symbol"/>
                <w:sz w:val="24"/>
                <w:szCs w:val="24"/>
              </w:rPr>
            </w:pPr>
            <w:r w:rsidRPr="48E170DD" w:rsidR="7DB5EF89">
              <w:rPr>
                <w:rFonts w:ascii="Segoe UI Symbol" w:hAnsi="Segoe UI Symbol" w:eastAsia="Segoe UI Symbol" w:cs="Segoe UI Symbol"/>
                <w:sz w:val="24"/>
                <w:szCs w:val="24"/>
              </w:rPr>
              <w:t>Exemplify how to engage parents and carers in the education of their children (e.g. proactively highlighting successes</w:t>
            </w:r>
          </w:p>
          <w:p w:rsidR="48E170DD" w:rsidP="48E170DD" w:rsidRDefault="48E170DD" w14:paraId="0272A447" w14:textId="6957E41B">
            <w:pPr>
              <w:pStyle w:val="Normal"/>
              <w:ind w:left="0"/>
              <w:rPr>
                <w:rFonts w:ascii="Segoe UI Symbol" w:hAnsi="Segoe UI Symbol" w:eastAsia="Segoe UI Symbol" w:cs="Segoe UI Symbol"/>
                <w:sz w:val="24"/>
                <w:szCs w:val="24"/>
              </w:rPr>
            </w:pPr>
          </w:p>
          <w:p w:rsidR="7DB5EF89" w:rsidP="48E170DD" w:rsidRDefault="7DB5EF89" w14:paraId="02F7DB6F" w14:textId="324D543C">
            <w:pPr>
              <w:pStyle w:val="ListParagraph"/>
              <w:numPr>
                <w:ilvl w:val="0"/>
                <w:numId w:val="3"/>
              </w:numPr>
              <w:rPr>
                <w:rFonts w:ascii="Segoe UI Symbol" w:hAnsi="Segoe UI Symbol" w:eastAsia="Segoe UI Symbol" w:cs="Segoe UI Symbol"/>
                <w:sz w:val="24"/>
                <w:szCs w:val="24"/>
              </w:rPr>
            </w:pPr>
            <w:r w:rsidRPr="48E170DD" w:rsidR="7DB5EF89">
              <w:rPr>
                <w:rFonts w:ascii="Segoe UI Symbol" w:hAnsi="Segoe UI Symbol" w:eastAsia="Segoe UI Symbol" w:cs="Segoe UI Symbol"/>
                <w:sz w:val="24"/>
                <w:szCs w:val="24"/>
              </w:rPr>
              <w:t>Explain how expert colleagues communicate with parents and carers proactively and make effective use of parents’ evenings to engage parents and carers in their children’s schooling and deconstructing this approach.</w:t>
            </w:r>
          </w:p>
          <w:p w:rsidR="0BFF2A25" w:rsidP="0BFF2A25" w:rsidRDefault="0BFF2A25" w14:paraId="35C42306" w14:textId="33AF5FF5">
            <w:pPr>
              <w:pStyle w:val="Normal"/>
              <w:ind w:left="0"/>
              <w:rPr>
                <w:rFonts w:ascii="Segoe UI Symbol" w:hAnsi="Segoe UI Symbol" w:eastAsia="Segoe UI Symbol" w:cs="Segoe UI Symbol"/>
                <w:sz w:val="24"/>
                <w:szCs w:val="24"/>
              </w:rPr>
            </w:pPr>
          </w:p>
          <w:p w:rsidR="41D56B59" w:rsidP="41D56B59" w:rsidRDefault="41D56B59" w14:paraId="14E2F4DA" w14:textId="497B99CF">
            <w:pPr>
              <w:pStyle w:val="Normal"/>
              <w:ind w:left="0"/>
              <w:rPr>
                <w:rFonts w:ascii="Segoe UI Symbol" w:hAnsi="Segoe UI Symbol" w:eastAsia="Segoe UI Symbol" w:cs="Segoe UI Symbol"/>
                <w:sz w:val="24"/>
                <w:szCs w:val="24"/>
              </w:rPr>
            </w:pPr>
          </w:p>
          <w:p w:rsidR="07C1CC30" w:rsidP="07C1CC30" w:rsidRDefault="07C1CC30" w14:paraId="7319BA6E" w14:textId="669C0913">
            <w:pPr>
              <w:pStyle w:val="Normal"/>
              <w:widowControl w:val="1"/>
              <w:ind w:left="0"/>
              <w:rPr>
                <w:rFonts w:ascii="Segoe UI Symbol" w:hAnsi="Segoe UI Symbol" w:eastAsia="Segoe UI Symbol" w:cs="Segoe UI Symbol"/>
                <w:color w:val="000000" w:themeColor="text1" w:themeTint="FF" w:themeShade="FF"/>
                <w:sz w:val="24"/>
                <w:szCs w:val="24"/>
              </w:rPr>
            </w:pP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48E170DD"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8B1D2B" w:rsidP="66116E50" w:rsidRDefault="008B1D2B" w14:paraId="4785FB06" w14:textId="3C232A62">
            <w:pPr>
              <w:pStyle w:val="ListParagraph"/>
              <w:numPr>
                <w:ilvl w:val="0"/>
                <w:numId w:val="2"/>
              </w:numPr>
              <w:rPr>
                <w:rFonts w:ascii="Segoe UI Symbol" w:hAnsi="Segoe UI Symbol" w:eastAsia="Segoe UI Symbol" w:cs="Segoe UI Symbol"/>
                <w:sz w:val="24"/>
                <w:szCs w:val="24"/>
                <w:highlight w:val="yellow"/>
              </w:rPr>
            </w:pPr>
            <w:r w:rsidRPr="48E170DD" w:rsidR="041C85EE">
              <w:rPr>
                <w:rFonts w:ascii="Segoe UI Symbol" w:hAnsi="Segoe UI Symbol" w:eastAsia="Segoe UI Symbol" w:cs="Segoe UI Symbol"/>
                <w:sz w:val="24"/>
                <w:szCs w:val="24"/>
                <w:highlight w:val="yellow"/>
              </w:rPr>
              <w:t>1.How have you developed professional relationships within your wider department and school teams?</w:t>
            </w:r>
          </w:p>
          <w:p w:rsidRPr="00523D39" w:rsidR="008B1D2B" w:rsidP="48E170DD" w:rsidRDefault="008B1D2B" w14:paraId="6D163883" w14:textId="183454B5">
            <w:pPr>
              <w:pStyle w:val="Normal"/>
              <w:ind w:left="0"/>
              <w:rPr>
                <w:rFonts w:ascii="Segoe UI Symbol" w:hAnsi="Segoe UI Symbol" w:eastAsia="Segoe UI Symbol" w:cs="Segoe UI Symbol"/>
                <w:sz w:val="24"/>
                <w:szCs w:val="24"/>
                <w:highlight w:val="yellow"/>
              </w:rPr>
            </w:pPr>
          </w:p>
          <w:p w:rsidRPr="00523D39" w:rsidR="008B1D2B" w:rsidP="66116E50" w:rsidRDefault="008B1D2B" w14:paraId="11852BB5" w14:textId="37D6461B">
            <w:pPr>
              <w:pStyle w:val="ListParagraph"/>
              <w:numPr>
                <w:ilvl w:val="0"/>
                <w:numId w:val="2"/>
              </w:numPr>
              <w:rPr>
                <w:rFonts w:ascii="Segoe UI Symbol" w:hAnsi="Segoe UI Symbol" w:eastAsia="Segoe UI Symbol" w:cs="Segoe UI Symbol"/>
                <w:sz w:val="24"/>
                <w:szCs w:val="24"/>
                <w:highlight w:val="yellow"/>
              </w:rPr>
            </w:pPr>
            <w:r w:rsidRPr="48E170DD" w:rsidR="041C85EE">
              <w:rPr>
                <w:rFonts w:ascii="Segoe UI Symbol" w:hAnsi="Segoe UI Symbol" w:eastAsia="Segoe UI Symbol" w:cs="Segoe UI Symbol"/>
                <w:sz w:val="24"/>
                <w:szCs w:val="24"/>
                <w:highlight w:val="yellow"/>
              </w:rPr>
              <w:t>How do you communicate with parents and carers proactively and make effective use of parents’ evenings to engage them in their children’s schooling? Appraise any unique challenges within history.</w:t>
            </w:r>
          </w:p>
        </w:tc>
      </w:tr>
      <w:tr w:rsidRPr="00F07217" w:rsidR="00B5000E" w:rsidTr="48E170DD"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48E170DD"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48E170DD"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48E170DD"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48E170DD"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48E170DD"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48E170DD"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8E170DD"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48E170DD"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48E170DD"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BFF2A25" w:rsidRDefault="0BFF2A25" w14:paraId="137C53F6" w14:textId="37774BFD"/>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322418"/>
    <w:rsid w:val="02498DF2"/>
    <w:rsid w:val="027E7B40"/>
    <w:rsid w:val="02D6B5D1"/>
    <w:rsid w:val="0371A557"/>
    <w:rsid w:val="041C85EE"/>
    <w:rsid w:val="042A0780"/>
    <w:rsid w:val="04E7CE3D"/>
    <w:rsid w:val="05038555"/>
    <w:rsid w:val="0514B944"/>
    <w:rsid w:val="051FCE2B"/>
    <w:rsid w:val="05592BA6"/>
    <w:rsid w:val="058D3D15"/>
    <w:rsid w:val="05DF0937"/>
    <w:rsid w:val="05E13E40"/>
    <w:rsid w:val="067536BF"/>
    <w:rsid w:val="06ADBEBA"/>
    <w:rsid w:val="06B72B9C"/>
    <w:rsid w:val="06D358C7"/>
    <w:rsid w:val="06D779E4"/>
    <w:rsid w:val="07363FCA"/>
    <w:rsid w:val="07445F89"/>
    <w:rsid w:val="07AA26F4"/>
    <w:rsid w:val="07B7B024"/>
    <w:rsid w:val="07C1CC30"/>
    <w:rsid w:val="07CD1810"/>
    <w:rsid w:val="083BE246"/>
    <w:rsid w:val="08A6A640"/>
    <w:rsid w:val="08FEF37E"/>
    <w:rsid w:val="0935BEA5"/>
    <w:rsid w:val="098F82FD"/>
    <w:rsid w:val="09D1A08E"/>
    <w:rsid w:val="09E82679"/>
    <w:rsid w:val="0AA1E10E"/>
    <w:rsid w:val="0ABBB43B"/>
    <w:rsid w:val="0AE1976C"/>
    <w:rsid w:val="0B046448"/>
    <w:rsid w:val="0B3EB9E1"/>
    <w:rsid w:val="0BDE4702"/>
    <w:rsid w:val="0BE2BCC0"/>
    <w:rsid w:val="0BFAD37E"/>
    <w:rsid w:val="0BFF2A25"/>
    <w:rsid w:val="0C2777EC"/>
    <w:rsid w:val="0CA4559B"/>
    <w:rsid w:val="0CE74454"/>
    <w:rsid w:val="0D7A1763"/>
    <w:rsid w:val="0D7AE4DB"/>
    <w:rsid w:val="0DB3A10D"/>
    <w:rsid w:val="0DC4A605"/>
    <w:rsid w:val="0E7396BC"/>
    <w:rsid w:val="0F15E7C4"/>
    <w:rsid w:val="0F6DCC29"/>
    <w:rsid w:val="0F755231"/>
    <w:rsid w:val="0F807642"/>
    <w:rsid w:val="0FDBF65D"/>
    <w:rsid w:val="107CBA5D"/>
    <w:rsid w:val="10B1B825"/>
    <w:rsid w:val="10EFD998"/>
    <w:rsid w:val="1155D281"/>
    <w:rsid w:val="11CE4AC6"/>
    <w:rsid w:val="11CE4AC6"/>
    <w:rsid w:val="12047CBC"/>
    <w:rsid w:val="1292F5D9"/>
    <w:rsid w:val="1296A844"/>
    <w:rsid w:val="12981728"/>
    <w:rsid w:val="1359BF40"/>
    <w:rsid w:val="1359D3BE"/>
    <w:rsid w:val="136A1B27"/>
    <w:rsid w:val="13D06A63"/>
    <w:rsid w:val="14B59707"/>
    <w:rsid w:val="14C0D865"/>
    <w:rsid w:val="154F549C"/>
    <w:rsid w:val="165B9FE0"/>
    <w:rsid w:val="166F18F2"/>
    <w:rsid w:val="17601E8A"/>
    <w:rsid w:val="1771B7C3"/>
    <w:rsid w:val="179B1FF1"/>
    <w:rsid w:val="183E27DF"/>
    <w:rsid w:val="18446080"/>
    <w:rsid w:val="18573EB4"/>
    <w:rsid w:val="1872E06F"/>
    <w:rsid w:val="187DC252"/>
    <w:rsid w:val="19218FD1"/>
    <w:rsid w:val="194BC190"/>
    <w:rsid w:val="19584DC4"/>
    <w:rsid w:val="196408A5"/>
    <w:rsid w:val="19EF3585"/>
    <w:rsid w:val="1A46CC02"/>
    <w:rsid w:val="1A8891CC"/>
    <w:rsid w:val="1B4859F2"/>
    <w:rsid w:val="1B56F7DA"/>
    <w:rsid w:val="1C24622D"/>
    <w:rsid w:val="1C800FE3"/>
    <w:rsid w:val="1D79BFB2"/>
    <w:rsid w:val="1D7AEBB6"/>
    <w:rsid w:val="1E476F11"/>
    <w:rsid w:val="1E637CF1"/>
    <w:rsid w:val="1E7EBD7C"/>
    <w:rsid w:val="1E973C26"/>
    <w:rsid w:val="1EDE98A9"/>
    <w:rsid w:val="1F159013"/>
    <w:rsid w:val="1F1FF911"/>
    <w:rsid w:val="1F985692"/>
    <w:rsid w:val="1FC31179"/>
    <w:rsid w:val="205134C6"/>
    <w:rsid w:val="2064C9F7"/>
    <w:rsid w:val="207A690A"/>
    <w:rsid w:val="2096CDB8"/>
    <w:rsid w:val="20ED0A5F"/>
    <w:rsid w:val="2118783D"/>
    <w:rsid w:val="2154FD0C"/>
    <w:rsid w:val="2216396B"/>
    <w:rsid w:val="222F0AC7"/>
    <w:rsid w:val="222F2C5D"/>
    <w:rsid w:val="224ACAE7"/>
    <w:rsid w:val="22B2D7B9"/>
    <w:rsid w:val="2348E162"/>
    <w:rsid w:val="23AAA3EE"/>
    <w:rsid w:val="240A65EC"/>
    <w:rsid w:val="241F32BE"/>
    <w:rsid w:val="2513A0F1"/>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2202EF"/>
    <w:rsid w:val="2AA8F92D"/>
    <w:rsid w:val="2B02B945"/>
    <w:rsid w:val="2CE3753F"/>
    <w:rsid w:val="2D032A57"/>
    <w:rsid w:val="2D78DEC3"/>
    <w:rsid w:val="2D79DF26"/>
    <w:rsid w:val="2DA22EC5"/>
    <w:rsid w:val="2DBF6CB3"/>
    <w:rsid w:val="2DCF18D6"/>
    <w:rsid w:val="2DE6DF56"/>
    <w:rsid w:val="2E1F2954"/>
    <w:rsid w:val="2E7E50BC"/>
    <w:rsid w:val="2E83A66F"/>
    <w:rsid w:val="2EA9D22D"/>
    <w:rsid w:val="2EBD668D"/>
    <w:rsid w:val="2F0B69D1"/>
    <w:rsid w:val="2F843E41"/>
    <w:rsid w:val="318E1FF3"/>
    <w:rsid w:val="319D2123"/>
    <w:rsid w:val="31E891B0"/>
    <w:rsid w:val="320BFDA4"/>
    <w:rsid w:val="320F3ABA"/>
    <w:rsid w:val="3218B464"/>
    <w:rsid w:val="321C324A"/>
    <w:rsid w:val="3232C097"/>
    <w:rsid w:val="32474805"/>
    <w:rsid w:val="326C44A4"/>
    <w:rsid w:val="32EF65E9"/>
    <w:rsid w:val="33A7CE05"/>
    <w:rsid w:val="340AD684"/>
    <w:rsid w:val="3434A3A4"/>
    <w:rsid w:val="34863FBE"/>
    <w:rsid w:val="34980AFC"/>
    <w:rsid w:val="34B3BD21"/>
    <w:rsid w:val="34E4DD6B"/>
    <w:rsid w:val="35167A6B"/>
    <w:rsid w:val="353CB737"/>
    <w:rsid w:val="35439E66"/>
    <w:rsid w:val="3553D30C"/>
    <w:rsid w:val="35BE3730"/>
    <w:rsid w:val="35BE3730"/>
    <w:rsid w:val="35CD8FE2"/>
    <w:rsid w:val="3657C0EA"/>
    <w:rsid w:val="36A09214"/>
    <w:rsid w:val="36C781C9"/>
    <w:rsid w:val="3704D012"/>
    <w:rsid w:val="377FBC2E"/>
    <w:rsid w:val="37827B47"/>
    <w:rsid w:val="37BB374B"/>
    <w:rsid w:val="37CFABBE"/>
    <w:rsid w:val="37F642E4"/>
    <w:rsid w:val="38272833"/>
    <w:rsid w:val="385DB780"/>
    <w:rsid w:val="3919F3B5"/>
    <w:rsid w:val="39437105"/>
    <w:rsid w:val="396B7C1F"/>
    <w:rsid w:val="39AAF93D"/>
    <w:rsid w:val="39E9C567"/>
    <w:rsid w:val="39FD9A14"/>
    <w:rsid w:val="3AC9B0B5"/>
    <w:rsid w:val="3B2861F4"/>
    <w:rsid w:val="3B550861"/>
    <w:rsid w:val="3C0A23B7"/>
    <w:rsid w:val="3CA67D74"/>
    <w:rsid w:val="3CA87BD8"/>
    <w:rsid w:val="3CD052A3"/>
    <w:rsid w:val="3CF33A1C"/>
    <w:rsid w:val="3D307C68"/>
    <w:rsid w:val="3D4131D0"/>
    <w:rsid w:val="3D4E463A"/>
    <w:rsid w:val="3D77B501"/>
    <w:rsid w:val="3DA5F418"/>
    <w:rsid w:val="3E3551F9"/>
    <w:rsid w:val="3E99CB48"/>
    <w:rsid w:val="3E9D5FCC"/>
    <w:rsid w:val="3EBF6C2A"/>
    <w:rsid w:val="3ECADF08"/>
    <w:rsid w:val="3FD00E91"/>
    <w:rsid w:val="3FD1225A"/>
    <w:rsid w:val="3FE57AD3"/>
    <w:rsid w:val="400C9F9D"/>
    <w:rsid w:val="4053906B"/>
    <w:rsid w:val="40C55E80"/>
    <w:rsid w:val="40CA41DC"/>
    <w:rsid w:val="4124CAE8"/>
    <w:rsid w:val="41371B0E"/>
    <w:rsid w:val="41BAFADB"/>
    <w:rsid w:val="41D56B59"/>
    <w:rsid w:val="41E40230"/>
    <w:rsid w:val="41EB7169"/>
    <w:rsid w:val="41F70CEC"/>
    <w:rsid w:val="4257EB4B"/>
    <w:rsid w:val="425B3DBE"/>
    <w:rsid w:val="42DF0615"/>
    <w:rsid w:val="433956B4"/>
    <w:rsid w:val="4392DD4D"/>
    <w:rsid w:val="440DFFBA"/>
    <w:rsid w:val="44452910"/>
    <w:rsid w:val="44C6C66B"/>
    <w:rsid w:val="4532E142"/>
    <w:rsid w:val="45506867"/>
    <w:rsid w:val="45A9D01B"/>
    <w:rsid w:val="45C547D9"/>
    <w:rsid w:val="467A702A"/>
    <w:rsid w:val="46B79B5D"/>
    <w:rsid w:val="47205C19"/>
    <w:rsid w:val="472FC759"/>
    <w:rsid w:val="47B2CCA3"/>
    <w:rsid w:val="480CC7D7"/>
    <w:rsid w:val="487B7D76"/>
    <w:rsid w:val="4894EDFF"/>
    <w:rsid w:val="48E170DD"/>
    <w:rsid w:val="48E9CA5F"/>
    <w:rsid w:val="4960774B"/>
    <w:rsid w:val="4963E97C"/>
    <w:rsid w:val="497C322E"/>
    <w:rsid w:val="49E69633"/>
    <w:rsid w:val="4A1323C9"/>
    <w:rsid w:val="4A301306"/>
    <w:rsid w:val="4AD2B7AE"/>
    <w:rsid w:val="4C3BE506"/>
    <w:rsid w:val="4CB25E5E"/>
    <w:rsid w:val="4CB64C4E"/>
    <w:rsid w:val="4CDDD7AC"/>
    <w:rsid w:val="4CF77990"/>
    <w:rsid w:val="4D343BD4"/>
    <w:rsid w:val="4D4AC48B"/>
    <w:rsid w:val="4DEC5CBF"/>
    <w:rsid w:val="4E4CC4F0"/>
    <w:rsid w:val="4E6F6FEC"/>
    <w:rsid w:val="4F25B46A"/>
    <w:rsid w:val="4F699094"/>
    <w:rsid w:val="4FDF6A4C"/>
    <w:rsid w:val="50126D89"/>
    <w:rsid w:val="501FB3EB"/>
    <w:rsid w:val="50384C11"/>
    <w:rsid w:val="5055D7D6"/>
    <w:rsid w:val="506EA393"/>
    <w:rsid w:val="508E7716"/>
    <w:rsid w:val="508F3F52"/>
    <w:rsid w:val="50A156DD"/>
    <w:rsid w:val="50F92EB5"/>
    <w:rsid w:val="5155D304"/>
    <w:rsid w:val="5172EE7E"/>
    <w:rsid w:val="51CE74CE"/>
    <w:rsid w:val="520969CA"/>
    <w:rsid w:val="52615CD7"/>
    <w:rsid w:val="527F3012"/>
    <w:rsid w:val="5309EC17"/>
    <w:rsid w:val="53B1945B"/>
    <w:rsid w:val="53E17880"/>
    <w:rsid w:val="53E3FCA0"/>
    <w:rsid w:val="54AC743F"/>
    <w:rsid w:val="552A6478"/>
    <w:rsid w:val="55307419"/>
    <w:rsid w:val="555831DC"/>
    <w:rsid w:val="558C72EE"/>
    <w:rsid w:val="55B6CDEB"/>
    <w:rsid w:val="564F4814"/>
    <w:rsid w:val="565D2E94"/>
    <w:rsid w:val="568CEC13"/>
    <w:rsid w:val="571B9D62"/>
    <w:rsid w:val="575F4AA5"/>
    <w:rsid w:val="5788AE22"/>
    <w:rsid w:val="57DD5D3A"/>
    <w:rsid w:val="57F8FEF5"/>
    <w:rsid w:val="582BA449"/>
    <w:rsid w:val="58671942"/>
    <w:rsid w:val="588FD29E"/>
    <w:rsid w:val="58A8A60D"/>
    <w:rsid w:val="592A1C42"/>
    <w:rsid w:val="595F7AFB"/>
    <w:rsid w:val="5994CF56"/>
    <w:rsid w:val="59B4C0DA"/>
    <w:rsid w:val="59B9767D"/>
    <w:rsid w:val="59F140F3"/>
    <w:rsid w:val="5A995698"/>
    <w:rsid w:val="5B4F8EFF"/>
    <w:rsid w:val="5BEF0E85"/>
    <w:rsid w:val="5C1FD0E7"/>
    <w:rsid w:val="5C6E916B"/>
    <w:rsid w:val="5CB5C4B6"/>
    <w:rsid w:val="5D56093F"/>
    <w:rsid w:val="5DD0F75A"/>
    <w:rsid w:val="5DE60F8E"/>
    <w:rsid w:val="5DFBA630"/>
    <w:rsid w:val="5E0D3775"/>
    <w:rsid w:val="5E3AB1F5"/>
    <w:rsid w:val="5F33CA45"/>
    <w:rsid w:val="5F6CC7BB"/>
    <w:rsid w:val="5F7E057A"/>
    <w:rsid w:val="5F8F718C"/>
    <w:rsid w:val="605902CA"/>
    <w:rsid w:val="60644428"/>
    <w:rsid w:val="6085C347"/>
    <w:rsid w:val="60C519E5"/>
    <w:rsid w:val="617323AD"/>
    <w:rsid w:val="617CC7CB"/>
    <w:rsid w:val="62001489"/>
    <w:rsid w:val="6239EC13"/>
    <w:rsid w:val="6260EA46"/>
    <w:rsid w:val="63410812"/>
    <w:rsid w:val="6349D8CD"/>
    <w:rsid w:val="63BEEF02"/>
    <w:rsid w:val="644A8E56"/>
    <w:rsid w:val="644EE0C7"/>
    <w:rsid w:val="646C731D"/>
    <w:rsid w:val="64A81E23"/>
    <w:rsid w:val="64AA1B5E"/>
    <w:rsid w:val="64E5A92E"/>
    <w:rsid w:val="64FBB987"/>
    <w:rsid w:val="6515CD37"/>
    <w:rsid w:val="651E917F"/>
    <w:rsid w:val="65686D22"/>
    <w:rsid w:val="65AA246D"/>
    <w:rsid w:val="66116E50"/>
    <w:rsid w:val="6681EDA2"/>
    <w:rsid w:val="669789E8"/>
    <w:rsid w:val="66B25ABE"/>
    <w:rsid w:val="6776F2E3"/>
    <w:rsid w:val="67D6FB70"/>
    <w:rsid w:val="6868C5A8"/>
    <w:rsid w:val="68F49F38"/>
    <w:rsid w:val="69428FD3"/>
    <w:rsid w:val="6A236677"/>
    <w:rsid w:val="6A52D3CE"/>
    <w:rsid w:val="6A76DF6D"/>
    <w:rsid w:val="6B46C3CA"/>
    <w:rsid w:val="6B9032D0"/>
    <w:rsid w:val="6C215E17"/>
    <w:rsid w:val="6C430460"/>
    <w:rsid w:val="6C5C69E0"/>
    <w:rsid w:val="6CA1235F"/>
    <w:rsid w:val="6CB53EDC"/>
    <w:rsid w:val="6CC40E85"/>
    <w:rsid w:val="6D2F1731"/>
    <w:rsid w:val="6D96986F"/>
    <w:rsid w:val="6E25193E"/>
    <w:rsid w:val="6E25193E"/>
    <w:rsid w:val="6E30F3B7"/>
    <w:rsid w:val="6E5ECDA4"/>
    <w:rsid w:val="6EDA8A3D"/>
    <w:rsid w:val="6F25146C"/>
    <w:rsid w:val="6F908089"/>
    <w:rsid w:val="6F9839BB"/>
    <w:rsid w:val="6FEFD282"/>
    <w:rsid w:val="6FEFE4E3"/>
    <w:rsid w:val="6FF9FDC2"/>
    <w:rsid w:val="7026EEBD"/>
    <w:rsid w:val="704A270F"/>
    <w:rsid w:val="70FCA47A"/>
    <w:rsid w:val="710B7C27"/>
    <w:rsid w:val="710EC6F0"/>
    <w:rsid w:val="7157CB74"/>
    <w:rsid w:val="7163A1EC"/>
    <w:rsid w:val="7185978E"/>
    <w:rsid w:val="720CB4F4"/>
    <w:rsid w:val="7219536B"/>
    <w:rsid w:val="726A6F7A"/>
    <w:rsid w:val="7271A0A9"/>
    <w:rsid w:val="72A540F3"/>
    <w:rsid w:val="72AF8EE3"/>
    <w:rsid w:val="72B9B6E3"/>
    <w:rsid w:val="72DDAC0A"/>
    <w:rsid w:val="72DF23DF"/>
    <w:rsid w:val="72FF7076"/>
    <w:rsid w:val="739FDEBF"/>
    <w:rsid w:val="73F534AC"/>
    <w:rsid w:val="748F05E7"/>
    <w:rsid w:val="749AD399"/>
    <w:rsid w:val="74A954B0"/>
    <w:rsid w:val="74B1080E"/>
    <w:rsid w:val="74F2C1A2"/>
    <w:rsid w:val="7526E531"/>
    <w:rsid w:val="752AD73C"/>
    <w:rsid w:val="7550F42D"/>
    <w:rsid w:val="75C4B713"/>
    <w:rsid w:val="75EF8FEB"/>
    <w:rsid w:val="7607EA7E"/>
    <w:rsid w:val="7619328B"/>
    <w:rsid w:val="761CC460"/>
    <w:rsid w:val="776A8D5F"/>
    <w:rsid w:val="77ED4A28"/>
    <w:rsid w:val="785F5BA0"/>
    <w:rsid w:val="7882B192"/>
    <w:rsid w:val="79667E0A"/>
    <w:rsid w:val="797409E7"/>
    <w:rsid w:val="79917CD3"/>
    <w:rsid w:val="79FE85F5"/>
    <w:rsid w:val="7A0EBDD9"/>
    <w:rsid w:val="7A290420"/>
    <w:rsid w:val="7A54D955"/>
    <w:rsid w:val="7A979A50"/>
    <w:rsid w:val="7AAEF603"/>
    <w:rsid w:val="7B94C73C"/>
    <w:rsid w:val="7BAEE0AB"/>
    <w:rsid w:val="7C0B0F79"/>
    <w:rsid w:val="7C562421"/>
    <w:rsid w:val="7C7D8C57"/>
    <w:rsid w:val="7CDF39BD"/>
    <w:rsid w:val="7D03E824"/>
    <w:rsid w:val="7D1CFE5A"/>
    <w:rsid w:val="7D30979D"/>
    <w:rsid w:val="7DB5EF89"/>
    <w:rsid w:val="7E0396A6"/>
    <w:rsid w:val="7E932AC8"/>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glossary-tooltip-text" w:customStyle="true">
    <w:uiPriority w:val="1"/>
    <w:name w:val="glossary-tooltip-text"/>
    <w:basedOn w:val="DefaultParagraphFont"/>
    <w:rsid w:val="66116E50"/>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dera.ioe.ac.uk/id/eprint/7904/1/DCSF-RR005.pdf" TargetMode="External" Id="R61f09d40fd8941cc" /><Relationship Type="http://schemas.openxmlformats.org/officeDocument/2006/relationships/hyperlink" Target="https://edgehill.on.worldcat.org/oclc/1229088598" TargetMode="External" Id="R4a892b6961ed4e70"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xmlns:wp14="http://schemas.microsoft.com/office/word/2010/wordml" w14:paraId="3B5308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25</revision>
  <lastPrinted>2023-05-18T14:08:00.0000000Z</lastPrinted>
  <dcterms:created xsi:type="dcterms:W3CDTF">2023-11-23T09:09:00.0000000Z</dcterms:created>
  <dcterms:modified xsi:type="dcterms:W3CDTF">2024-05-09T12:15:43.6707431Z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