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3D307C68"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330F8085">
            <w:pPr>
              <w:jc w:val="center"/>
              <w:rPr>
                <w:rFonts w:ascii="Cambria" w:hAnsi="Cambria" w:eastAsia="Georgia" w:cs="Georgia"/>
                <w:b w:val="1"/>
                <w:bCs w:val="1"/>
                <w:color w:val="FFFFFF" w:themeColor="background1"/>
                <w:sz w:val="20"/>
                <w:szCs w:val="20"/>
                <w:u w:val="single"/>
              </w:rPr>
            </w:pPr>
            <w:r w:rsidRPr="3D307C68"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3D307C68" w:rsidR="2154FD0C">
              <w:rPr>
                <w:rFonts w:ascii="Cambria" w:hAnsi="Cambria" w:eastAsia="Georgia" w:cs="Georgia"/>
                <w:b w:val="1"/>
                <w:bCs w:val="1"/>
                <w:color w:val="FFFFFF" w:themeColor="background1" w:themeTint="FF" w:themeShade="FF"/>
                <w:sz w:val="20"/>
                <w:szCs w:val="20"/>
              </w:rPr>
              <w:t xml:space="preserve"> (AY 2</w:t>
            </w:r>
            <w:r w:rsidRPr="3D307C68" w:rsidR="4894EDFF">
              <w:rPr>
                <w:rFonts w:ascii="Cambria" w:hAnsi="Cambria" w:eastAsia="Georgia" w:cs="Georgia"/>
                <w:b w:val="1"/>
                <w:bCs w:val="1"/>
                <w:color w:val="FFFFFF" w:themeColor="background1" w:themeTint="FF" w:themeShade="FF"/>
                <w:sz w:val="20"/>
                <w:szCs w:val="20"/>
              </w:rPr>
              <w:t>3</w:t>
            </w:r>
            <w:r w:rsidRPr="3D307C68" w:rsidR="2154FD0C">
              <w:rPr>
                <w:rFonts w:ascii="Cambria" w:hAnsi="Cambria" w:eastAsia="Georgia" w:cs="Georgia"/>
                <w:b w:val="1"/>
                <w:bCs w:val="1"/>
                <w:color w:val="FFFFFF" w:themeColor="background1" w:themeTint="FF" w:themeShade="FF"/>
                <w:sz w:val="20"/>
                <w:szCs w:val="20"/>
              </w:rPr>
              <w:t>/2</w:t>
            </w:r>
            <w:r w:rsidRPr="3D307C68" w:rsidR="4894EDFF">
              <w:rPr>
                <w:rFonts w:ascii="Cambria" w:hAnsi="Cambria" w:eastAsia="Georgia" w:cs="Georgia"/>
                <w:b w:val="1"/>
                <w:bCs w:val="1"/>
                <w:color w:val="FFFFFF" w:themeColor="background1" w:themeTint="FF" w:themeShade="FF"/>
                <w:sz w:val="20"/>
                <w:szCs w:val="20"/>
              </w:rPr>
              <w:t>4</w:t>
            </w:r>
            <w:r w:rsidRPr="3D307C68" w:rsidR="2154FD0C">
              <w:rPr>
                <w:rFonts w:ascii="Cambria" w:hAnsi="Cambria" w:eastAsia="Georgia" w:cs="Georgia"/>
                <w:b w:val="1"/>
                <w:bCs w:val="1"/>
                <w:color w:val="FFFFFF" w:themeColor="background1" w:themeTint="FF" w:themeShade="FF"/>
                <w:sz w:val="20"/>
                <w:szCs w:val="20"/>
              </w:rPr>
              <w:t>)</w:t>
            </w:r>
            <w:r w:rsidRPr="3D307C68" w:rsidR="28E81556">
              <w:rPr>
                <w:rFonts w:ascii="Cambria" w:hAnsi="Cambria" w:eastAsia="Georgia" w:cs="Georgia"/>
                <w:b w:val="1"/>
                <w:bCs w:val="1"/>
                <w:color w:val="FFFFFF" w:themeColor="background1" w:themeTint="FF" w:themeShade="FF"/>
                <w:sz w:val="20"/>
                <w:szCs w:val="20"/>
              </w:rPr>
              <w:t xml:space="preserve"> </w:t>
            </w:r>
            <w:r w:rsidRPr="3D307C68" w:rsidR="55B6CDEB">
              <w:rPr>
                <w:rFonts w:ascii="Cambria" w:hAnsi="Cambria" w:eastAsia="Georgia" w:cs="Georgia"/>
                <w:b w:val="1"/>
                <w:bCs w:val="1"/>
                <w:color w:val="auto"/>
                <w:sz w:val="20"/>
                <w:szCs w:val="20"/>
                <w:u w:val="single"/>
              </w:rPr>
              <w:t xml:space="preserve"> </w:t>
            </w:r>
            <w:r w:rsidRPr="3D307C68" w:rsidR="55B6CDEB">
              <w:rPr>
                <w:rFonts w:ascii="Cambria" w:hAnsi="Cambria" w:eastAsia="Georgia" w:cs="Georgia"/>
                <w:b w:val="1"/>
                <w:bCs w:val="1"/>
                <w:color w:val="FFFFFF" w:themeColor="background1" w:themeTint="FF" w:themeShade="FF"/>
                <w:sz w:val="20"/>
                <w:szCs w:val="20"/>
                <w:u w:val="single"/>
              </w:rPr>
              <w:t>Week</w:t>
            </w:r>
            <w:r w:rsidRPr="3D307C68" w:rsidR="70FCA47A">
              <w:rPr>
                <w:rFonts w:ascii="Cambria" w:hAnsi="Cambria" w:eastAsia="Georgia" w:cs="Georgia"/>
                <w:b w:val="1"/>
                <w:bCs w:val="1"/>
                <w:color w:val="FFFFFF" w:themeColor="background1" w:themeTint="FF" w:themeShade="FF"/>
                <w:sz w:val="20"/>
                <w:szCs w:val="20"/>
                <w:u w:val="single"/>
              </w:rPr>
              <w:t xml:space="preserve"> 3</w:t>
            </w:r>
            <w:r w:rsidRPr="3D307C68" w:rsidR="0AE1976C">
              <w:rPr>
                <w:rFonts w:ascii="Cambria" w:hAnsi="Cambria" w:eastAsia="Georgia" w:cs="Georgia"/>
                <w:b w:val="1"/>
                <w:bCs w:val="1"/>
                <w:color w:val="FFFFFF" w:themeColor="background1" w:themeTint="FF" w:themeShade="FF"/>
                <w:sz w:val="20"/>
                <w:szCs w:val="20"/>
                <w:u w:val="single"/>
              </w:rPr>
              <w:t>6</w:t>
            </w:r>
          </w:p>
        </w:tc>
      </w:tr>
      <w:tr w:rsidRPr="00F07217" w:rsidR="00E65DEB" w:rsidTr="3D307C68"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23037FB7">
            <w:pPr>
              <w:jc w:val="both"/>
              <w:rPr>
                <w:rFonts w:ascii="Cambria" w:hAnsi="Cambria"/>
                <w:b w:val="1"/>
                <w:bCs w:val="1"/>
                <w:sz w:val="20"/>
                <w:szCs w:val="20"/>
              </w:rPr>
            </w:pPr>
            <w:r w:rsidRPr="41D56B59" w:rsidR="00606867">
              <w:rPr>
                <w:rFonts w:ascii="Cambria" w:hAnsi="Cambria"/>
                <w:b w:val="1"/>
                <w:bCs w:val="1"/>
                <w:sz w:val="20"/>
                <w:szCs w:val="20"/>
              </w:rPr>
              <w:t>Course:</w:t>
            </w:r>
            <w:r w:rsidRPr="41D56B59" w:rsidR="00866227">
              <w:rPr>
                <w:rFonts w:ascii="Cambria" w:hAnsi="Cambria"/>
                <w:b w:val="1"/>
                <w:bCs w:val="1"/>
                <w:sz w:val="20"/>
                <w:szCs w:val="20"/>
              </w:rPr>
              <w:t xml:space="preserve"> </w:t>
            </w:r>
            <w:r w:rsidRPr="41D56B59" w:rsidR="5E3AB1F5">
              <w:rPr>
                <w:rFonts w:ascii="Cambria" w:hAnsi="Cambria"/>
                <w:b w:val="1"/>
                <w:bCs w:val="1"/>
                <w:sz w:val="20"/>
                <w:szCs w:val="20"/>
              </w:rPr>
              <w:t>History</w:t>
            </w:r>
            <w:r w:rsidRPr="41D56B59" w:rsidR="00B56665">
              <w:rPr>
                <w:rFonts w:ascii="Cambria" w:hAnsi="Cambria"/>
                <w:b w:val="1"/>
                <w:bCs w:val="1"/>
                <w:sz w:val="20"/>
                <w:szCs w:val="20"/>
              </w:rPr>
              <w:t xml:space="preserv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3D307C68"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3D307C68"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7C1CC30" w:rsidRDefault="00B56665" w14:paraId="7061C386" w14:textId="594687E3">
            <w:pPr>
              <w:pStyle w:val="Normal"/>
              <w:suppressLineNumbers w:val="0"/>
              <w:bidi w:val="0"/>
              <w:spacing w:before="0" w:beforeAutospacing="off" w:after="0" w:afterAutospacing="off" w:line="259" w:lineRule="auto"/>
              <w:ind w:left="0" w:right="0"/>
              <w:jc w:val="both"/>
              <w:rPr/>
            </w:pPr>
            <w:r w:rsidRPr="07C1CC30" w:rsidR="318E1FF3">
              <w:rPr>
                <w:rFonts w:ascii="Cambria" w:hAnsi="Cambria"/>
                <w:b w:val="1"/>
                <w:bCs w:val="1"/>
                <w:sz w:val="20"/>
                <w:szCs w:val="20"/>
              </w:rPr>
              <w:t>Consolidation</w:t>
            </w:r>
          </w:p>
        </w:tc>
      </w:tr>
      <w:tr w:rsidRPr="00F07217" w:rsidR="004009A7" w:rsidTr="3D307C68"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3D307C68"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6D779E4" w:rsidRDefault="59B9767D" w14:paraId="2E3558FD" w14:textId="6535AF65">
            <w:pPr>
              <w:pStyle w:val="Normal"/>
              <w:suppressLineNumbers w:val="0"/>
              <w:bidi w:val="0"/>
              <w:spacing w:before="0" w:beforeAutospacing="off" w:after="0" w:afterAutospacing="off" w:line="259" w:lineRule="auto"/>
              <w:ind w:left="0" w:right="0"/>
              <w:jc w:val="both"/>
            </w:pPr>
            <w:r w:rsidRPr="3D307C68" w:rsidR="6D96986F">
              <w:rPr>
                <w:rFonts w:ascii="Cambria" w:hAnsi="Cambria"/>
                <w:b w:val="1"/>
                <w:bCs w:val="1"/>
                <w:sz w:val="20"/>
                <w:szCs w:val="20"/>
              </w:rPr>
              <w:t>2</w:t>
            </w:r>
            <w:r w:rsidRPr="3D307C68" w:rsidR="4532E142">
              <w:rPr>
                <w:rFonts w:ascii="Cambria" w:hAnsi="Cambria"/>
                <w:b w:val="1"/>
                <w:bCs w:val="1"/>
                <w:sz w:val="20"/>
                <w:szCs w:val="20"/>
              </w:rPr>
              <w:t>9</w:t>
            </w:r>
            <w:r w:rsidRPr="3D307C68" w:rsidR="5F33CA45">
              <w:rPr>
                <w:rFonts w:ascii="Cambria" w:hAnsi="Cambria"/>
                <w:b w:val="1"/>
                <w:bCs w:val="1"/>
                <w:sz w:val="20"/>
                <w:szCs w:val="20"/>
              </w:rPr>
              <w:t>/</w:t>
            </w:r>
            <w:r w:rsidRPr="3D307C68" w:rsidR="5F7E057A">
              <w:rPr>
                <w:rFonts w:ascii="Cambria" w:hAnsi="Cambria"/>
                <w:b w:val="1"/>
                <w:bCs w:val="1"/>
                <w:sz w:val="20"/>
                <w:szCs w:val="20"/>
              </w:rPr>
              <w:t>4</w:t>
            </w:r>
            <w:r w:rsidRPr="3D307C68" w:rsidR="5F33CA45">
              <w:rPr>
                <w:rFonts w:ascii="Cambria" w:hAnsi="Cambria"/>
                <w:b w:val="1"/>
                <w:bCs w:val="1"/>
                <w:sz w:val="20"/>
                <w:szCs w:val="20"/>
              </w:rPr>
              <w:t>/24</w:t>
            </w:r>
          </w:p>
        </w:tc>
      </w:tr>
      <w:tr w:rsidRPr="00F07217" w:rsidR="001506CA" w:rsidTr="3D307C68"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3D307C68" w:rsidRDefault="001506CA" w14:paraId="02A5213D" w14:textId="596149F4">
            <w:pPr>
              <w:jc w:val="center"/>
              <w:rPr>
                <w:rFonts w:ascii="Cambria" w:hAnsi="Cambria"/>
                <w:b w:val="1"/>
                <w:bCs w:val="1"/>
                <w:sz w:val="20"/>
                <w:szCs w:val="20"/>
                <w:highlight w:val="yellow"/>
              </w:rPr>
            </w:pPr>
            <w:r w:rsidRPr="3D307C68" w:rsidR="001506CA">
              <w:rPr>
                <w:rFonts w:ascii="Cambria" w:hAnsi="Cambria"/>
                <w:b w:val="1"/>
                <w:bCs w:val="1"/>
                <w:sz w:val="20"/>
                <w:szCs w:val="20"/>
                <w:highlight w:val="yellow"/>
              </w:rPr>
              <w:t>M</w:t>
            </w:r>
            <w:r w:rsidRPr="3D307C68" w:rsidR="005113AE">
              <w:rPr>
                <w:rFonts w:ascii="Cambria" w:hAnsi="Cambria"/>
                <w:b w:val="1"/>
                <w:bCs w:val="1"/>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3D307C68" w:rsidRDefault="005113AE" w14:paraId="13F8C042" w14:textId="5CF285E3">
            <w:pPr>
              <w:jc w:val="center"/>
              <w:rPr>
                <w:rFonts w:ascii="Cambria" w:hAnsi="Cambria"/>
                <w:b w:val="1"/>
                <w:bCs w:val="1"/>
                <w:sz w:val="20"/>
                <w:szCs w:val="20"/>
                <w:highlight w:val="yellow"/>
              </w:rPr>
            </w:pPr>
            <w:r w:rsidRPr="3D307C68" w:rsidR="005113AE">
              <w:rPr>
                <w:rFonts w:ascii="Cambria" w:hAnsi="Cambria"/>
                <w:b w:val="1"/>
                <w:bCs w:val="1"/>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3D307C68" w14:paraId="0EB57F5F" w14:textId="77777777">
        <w:trPr>
          <w:trHeight w:val="1695"/>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7A979A50" w:rsidP="3D307C68" w:rsidRDefault="7A979A50" w14:paraId="747CC417" w14:textId="666538CF">
            <w:pPr>
              <w:shd w:val="clear" w:color="auto" w:fill="FFFFFF" w:themeFill="background1"/>
              <w:spacing w:before="0" w:beforeAutospacing="off" w:after="0" w:afterAutospacing="off"/>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3D307C68" w:rsidR="7A979A5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Kraft, M., Blazar, D., &amp; Hogan, D. (2018) The Effect of Teacher Coaching on Instruction and Achievement: A Meta-Analysis of the Causal Evidence. Review of Educational Research. </w:t>
            </w:r>
          </w:p>
          <w:p w:rsidR="3D307C68" w:rsidP="3D307C68" w:rsidRDefault="3D307C68" w14:paraId="79F3E125" w14:textId="3B139C49">
            <w:pPr>
              <w:shd w:val="clear" w:color="auto" w:fill="FFFFFF" w:themeFill="background1"/>
              <w:spacing w:before="0" w:beforeAutospacing="off" w:after="0" w:afterAutospacing="off"/>
              <w:rPr>
                <w:rFonts w:ascii="Segoe UI Symbol" w:hAnsi="Segoe UI Symbol" w:eastAsia="Segoe UI Symbol" w:cs="Segoe UI Symbol"/>
                <w:sz w:val="24"/>
                <w:szCs w:val="24"/>
              </w:rPr>
            </w:pPr>
          </w:p>
          <w:p w:rsidR="7A979A50" w:rsidP="3D307C68" w:rsidRDefault="7A979A50" w14:paraId="73B56CE0" w14:textId="590B665C">
            <w:pPr>
              <w:shd w:val="clear" w:color="auto" w:fill="FFFFFF" w:themeFill="background1"/>
              <w:spacing w:before="0" w:beforeAutospacing="off" w:after="0" w:afterAutospacing="off"/>
              <w:rPr>
                <w:rFonts w:ascii="Segoe UI Symbol" w:hAnsi="Segoe UI Symbol" w:eastAsia="Segoe UI Symbol" w:cs="Segoe UI Symbol"/>
                <w:sz w:val="24"/>
                <w:szCs w:val="24"/>
              </w:rPr>
            </w:pPr>
            <w:hyperlink r:id="R1dd74abf69fe493b">
              <w:r w:rsidRPr="3D307C68" w:rsidR="7A979A50">
                <w:rPr>
                  <w:rStyle w:val="Hyperlink"/>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The Effect of Teacher Coaching on Instruction and Achievement: A Meta-Analysis of the Causal Evidence - Matthew A. Kraft, David Blazar, Dylan Hogan, 2018 (sagepub.com)</w:t>
              </w:r>
            </w:hyperlink>
          </w:p>
          <w:p w:rsidR="3D307C68" w:rsidP="3D307C68" w:rsidRDefault="3D307C68" w14:paraId="4F9FC02E" w14:textId="11BDF5DB">
            <w:pPr>
              <w:shd w:val="clear" w:color="auto" w:fill="FFFFFF" w:themeFill="background1"/>
              <w:spacing w:before="0" w:beforeAutospacing="off" w:after="0" w:afterAutospacing="off"/>
              <w:rPr>
                <w:rFonts w:ascii="Segoe UI Symbol" w:hAnsi="Segoe UI Symbol" w:eastAsia="Segoe UI Symbol" w:cs="Segoe UI Symbol"/>
                <w:sz w:val="24"/>
                <w:szCs w:val="24"/>
              </w:rPr>
            </w:pPr>
          </w:p>
          <w:p w:rsidR="7A979A50" w:rsidP="3D307C68" w:rsidRDefault="7A979A50" w14:paraId="61488D61" w14:textId="564AF653">
            <w:pPr>
              <w:shd w:val="clear" w:color="auto" w:fill="FFFFFF" w:themeFill="background1"/>
              <w:spacing w:before="0" w:beforeAutospacing="off" w:after="0" w:afterAutospacing="off"/>
              <w:rPr>
                <w:rFonts w:ascii="Segoe UI Symbol" w:hAnsi="Segoe UI Symbol" w:eastAsia="Segoe UI Symbol" w:cs="Segoe UI Symbol"/>
                <w:b w:val="1"/>
                <w:bCs w:val="1"/>
                <w:i w:val="0"/>
                <w:iCs w:val="0"/>
                <w:caps w:val="0"/>
                <w:smallCaps w:val="0"/>
                <w:noProof w:val="0"/>
                <w:color w:val="0D0D0D" w:themeColor="text1" w:themeTint="F2" w:themeShade="FF"/>
                <w:sz w:val="24"/>
                <w:szCs w:val="24"/>
                <w:lang w:val="en-GB"/>
              </w:rPr>
            </w:pPr>
            <w:r w:rsidRPr="3D307C68" w:rsidR="7A979A50">
              <w:rPr>
                <w:rFonts w:ascii="Segoe UI Symbol" w:hAnsi="Segoe UI Symbol" w:eastAsia="Segoe UI Symbol" w:cs="Segoe UI Symbol"/>
                <w:b w:val="1"/>
                <w:bCs w:val="1"/>
                <w:i w:val="0"/>
                <w:iCs w:val="0"/>
                <w:caps w:val="0"/>
                <w:smallCaps w:val="0"/>
                <w:noProof w:val="0"/>
                <w:color w:val="0D0D0D" w:themeColor="text1" w:themeTint="F2" w:themeShade="FF"/>
                <w:sz w:val="24"/>
                <w:szCs w:val="24"/>
                <w:lang w:val="en-GB"/>
              </w:rPr>
              <w:t>Summary</w:t>
            </w:r>
          </w:p>
          <w:p w:rsidR="3D307C68" w:rsidP="3D307C68" w:rsidRDefault="3D307C68" w14:paraId="0BD44F2D" w14:textId="4B2ABC46">
            <w:pPr>
              <w:shd w:val="clear" w:color="auto" w:fill="FFFFFF" w:themeFill="background1"/>
              <w:spacing w:before="0" w:beforeAutospacing="off" w:after="0" w:afterAutospacing="off"/>
              <w:jc w:val="left"/>
              <w:rPr>
                <w:rFonts w:ascii="Segoe UI Symbol" w:hAnsi="Segoe UI Symbol" w:eastAsia="Segoe UI Symbol" w:cs="Segoe UI Symbol"/>
                <w:sz w:val="24"/>
                <w:szCs w:val="24"/>
              </w:rPr>
            </w:pPr>
          </w:p>
          <w:p w:rsidR="7A979A50" w:rsidP="3D307C68" w:rsidRDefault="7A979A50" w14:paraId="6811F44E" w14:textId="33ADE4F6">
            <w:pPr>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pP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emerges</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 as a flexible and effective approach to improving instructional quality. </w:t>
            </w:r>
          </w:p>
          <w:p w:rsidR="3D307C68" w:rsidP="3D307C68" w:rsidRDefault="3D307C68" w14:paraId="25133639" w14:textId="09B1113F">
            <w:pPr>
              <w:shd w:val="clear" w:color="auto" w:fill="FFFFFF" w:themeFill="background1"/>
              <w:spacing w:before="0" w:beforeAutospacing="off" w:after="0" w:afterAutospacing="off"/>
              <w:jc w:val="left"/>
              <w:rPr>
                <w:rFonts w:ascii="Segoe UI Symbol" w:hAnsi="Segoe UI Symbol" w:eastAsia="Segoe UI Symbol" w:cs="Segoe UI Symbol"/>
                <w:sz w:val="24"/>
                <w:szCs w:val="24"/>
              </w:rPr>
            </w:pPr>
          </w:p>
          <w:p w:rsidR="7A979A50" w:rsidP="3D307C68" w:rsidRDefault="7A979A50" w14:paraId="6258170A" w14:textId="0AA30FD9">
            <w:pPr>
              <w:shd w:val="clear" w:color="auto" w:fill="FFFFFF" w:themeFill="background1"/>
              <w:spacing w:before="0" w:beforeAutospacing="off" w:after="0" w:afterAutospacing="off"/>
              <w:jc w:val="left"/>
              <w:rPr>
                <w:rFonts w:ascii="Segoe UI Symbol" w:hAnsi="Segoe UI Symbol" w:eastAsia="Segoe UI Symbol" w:cs="Segoe UI Symbol"/>
                <w:b w:val="1"/>
                <w:bCs w:val="1"/>
                <w:i w:val="0"/>
                <w:iCs w:val="0"/>
                <w:caps w:val="0"/>
                <w:smallCaps w:val="0"/>
                <w:noProof w:val="0"/>
                <w:color w:val="0D0D0D" w:themeColor="text1" w:themeTint="F2" w:themeShade="FF"/>
                <w:sz w:val="24"/>
                <w:szCs w:val="24"/>
                <w:lang w:val="en-GB"/>
              </w:rPr>
            </w:pPr>
            <w:r w:rsidRPr="3D307C68" w:rsidR="7A979A50">
              <w:rPr>
                <w:rFonts w:ascii="Segoe UI Symbol" w:hAnsi="Segoe UI Symbol" w:eastAsia="Segoe UI Symbol" w:cs="Segoe UI Symbol"/>
                <w:b w:val="1"/>
                <w:bCs w:val="1"/>
                <w:i w:val="0"/>
                <w:iCs w:val="0"/>
                <w:caps w:val="0"/>
                <w:smallCaps w:val="0"/>
                <w:noProof w:val="0"/>
                <w:color w:val="0D0D0D" w:themeColor="text1" w:themeTint="F2" w:themeShade="FF"/>
                <w:sz w:val="24"/>
                <w:szCs w:val="24"/>
                <w:lang w:val="en-GB"/>
              </w:rPr>
              <w:t>Limitations</w:t>
            </w:r>
          </w:p>
          <w:p w:rsidR="3D307C68" w:rsidP="3D307C68" w:rsidRDefault="3D307C68" w14:paraId="02DAA2D6" w14:textId="40E90691">
            <w:pPr>
              <w:shd w:val="clear" w:color="auto" w:fill="FFFFFF" w:themeFill="background1"/>
              <w:spacing w:before="0" w:beforeAutospacing="off" w:after="0" w:afterAutospacing="off"/>
              <w:jc w:val="left"/>
              <w:rPr>
                <w:rFonts w:ascii="Segoe UI Symbol" w:hAnsi="Segoe UI Symbol" w:eastAsia="Segoe UI Symbol" w:cs="Segoe UI Symbol"/>
                <w:sz w:val="24"/>
                <w:szCs w:val="24"/>
              </w:rPr>
            </w:pPr>
          </w:p>
          <w:p w:rsidR="7A979A50" w:rsidP="3D307C68" w:rsidRDefault="7A979A50" w14:paraId="3FCB4076" w14:textId="11588C68">
            <w:pPr>
              <w:shd w:val="clear" w:color="auto" w:fill="FFFFFF" w:themeFill="background1"/>
              <w:spacing w:before="0" w:beforeAutospacing="off" w:after="0" w:afterAutospacing="off"/>
              <w:jc w:val="left"/>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pP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The findings were taken from a meta-analysis of 60 studies meaning that the evidence was </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largely taken</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 from pre </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kindergarden</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 age (</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pre school</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 / early years) in US schools. Therefore, it may be difficult to draw any conclusions in relation to secondary schools within the UK. There is also the consideration that </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coachees</w:t>
            </w:r>
            <w:r w:rsidRPr="3D307C68" w:rsidR="7A979A50">
              <w:rPr>
                <w:rFonts w:ascii="Segoe UI Symbol" w:hAnsi="Segoe UI Symbol" w:eastAsia="Segoe UI Symbol" w:cs="Segoe UI Symbol"/>
                <w:b w:val="0"/>
                <w:bCs w:val="0"/>
                <w:i w:val="0"/>
                <w:iCs w:val="0"/>
                <w:caps w:val="0"/>
                <w:smallCaps w:val="0"/>
                <w:noProof w:val="0"/>
                <w:color w:val="0D0D0D" w:themeColor="text1" w:themeTint="F2" w:themeShade="FF"/>
                <w:sz w:val="24"/>
                <w:szCs w:val="24"/>
                <w:lang w:val="en-GB"/>
              </w:rPr>
              <w:t xml:space="preserve"> may have got better at giving instructions and this may affect the confidence in the relationship between coaching and student progress.</w:t>
            </w:r>
          </w:p>
          <w:p w:rsidR="0022901E" w:rsidP="66116E50" w:rsidRDefault="0022901E" w14:paraId="387C8138" w14:textId="3A3E24E5">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tc>
      </w:tr>
      <w:tr w:rsidRPr="00F07217" w:rsidR="00B5000E" w:rsidTr="3D307C68"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Pr="0096374D" w:rsidR="007F45A4" w:rsidP="3D307C68" w:rsidRDefault="007F45A4" w14:paraId="4C003D72" w14:textId="6F08D2C4">
            <w:pPr>
              <w:pStyle w:val="NormalWeb"/>
              <w:widowControl w:val="1"/>
              <w:shd w:val="clear" w:color="auto" w:fill="FFFFFF" w:themeFill="background1"/>
              <w:spacing w:before="0" w:beforeAutospacing="off" w:after="0" w:afterAutospacing="off"/>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3D307C68" w:rsidR="51CE74C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Massey, C., ‘Asking Year 12, “What would Figes do?”: using an academic historian as the gold standard for feedback’, in ‘Teaching History, Issue 164.</w:t>
            </w:r>
          </w:p>
          <w:p w:rsidR="3D307C68" w:rsidP="3D307C68" w:rsidRDefault="3D307C68" w14:paraId="199FC12E" w14:textId="0BDEE061">
            <w:pPr>
              <w:pStyle w:val="NormalWeb"/>
              <w:widowControl w:val="1"/>
              <w:shd w:val="clear" w:color="auto" w:fill="FFFFFF" w:themeFill="background1"/>
              <w:spacing w:before="0" w:after="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2118783D" w:rsidP="3D307C68" w:rsidRDefault="2118783D" w14:paraId="718CF6D3" w14:textId="05E16F83">
            <w:pPr>
              <w:pStyle w:val="NormalWeb"/>
              <w:widowControl w:val="1"/>
              <w:shd w:val="clear" w:color="auto" w:fill="FFFFFF" w:themeFill="background1"/>
              <w:spacing w:before="0" w:after="0"/>
              <w:rPr>
                <w:noProof w:val="0"/>
                <w:lang w:val="en-GB"/>
              </w:rPr>
            </w:pPr>
            <w:hyperlink r:id="Rc240d623808a47cb">
              <w:r w:rsidRPr="3D307C68" w:rsidR="2118783D">
                <w:rPr>
                  <w:rStyle w:val="Hyperlink"/>
                  <w:noProof w:val="0"/>
                  <w:lang w:val="en-GB"/>
                </w:rPr>
                <w:t>Carolyn_Massey.pdf</w:t>
              </w:r>
            </w:hyperlink>
          </w:p>
          <w:p w:rsidRPr="0096374D" w:rsidR="007F45A4" w:rsidP="41D56B59" w:rsidRDefault="007F45A4" w14:paraId="618D12A0" w14:textId="5A12B440">
            <w:pPr>
              <w:pStyle w:val="xmsolistparagraph"/>
              <w:spacing w:before="0" w:beforeAutospacing="off" w:after="0" w:afterAutospacing="off"/>
              <w:rPr>
                <w:rFonts w:ascii="Segoe UI Symbol" w:hAnsi="Segoe UI Symbol" w:eastAsia="Segoe UI Symbol" w:cs="Segoe UI Symbol"/>
                <w:noProof w:val="0"/>
                <w:lang w:val="en-GB"/>
              </w:rPr>
            </w:pPr>
          </w:p>
          <w:p w:rsidRPr="0096374D" w:rsidR="007F45A4" w:rsidP="06D779E4" w:rsidRDefault="007F45A4" w14:paraId="02295E43" w14:textId="1DAC9B79">
            <w:pPr>
              <w:pStyle w:val="xmsolistparagraph"/>
              <w:spacing w:before="0" w:beforeAutospacing="off" w:after="0" w:afterAutospacing="off"/>
              <w:rPr>
                <w:rFonts w:ascii="Segoe UI Symbol" w:hAnsi="Segoe UI Symbol" w:eastAsia="Segoe UI Symbol" w:cs="Segoe UI Symbol"/>
                <w:noProof w:val="0"/>
                <w:lang w:val="en-GB"/>
              </w:rPr>
            </w:pPr>
            <w:r w:rsidRPr="3D307C68" w:rsidR="1A46CC02">
              <w:rPr>
                <w:rFonts w:ascii="Segoe UI Symbol" w:hAnsi="Segoe UI Symbol" w:eastAsia="Segoe UI Symbol" w:cs="Segoe UI Symbol"/>
                <w:noProof w:val="0"/>
                <w:lang w:val="en-GB"/>
              </w:rPr>
              <w:t>Carolyn Massey describes history teachers as professionals who pride themselves on "a sophisticated understanding of change and continuity". Massey's article provides an example of how to embrace change, and to make something better than that which went before. She describes how she encouraged her Year 12 students to provide feedback for themselves and others by asking, "What would Figes do?" Their historical writing improved; they also became absorbed in the work of a real historian, going beyond the textbook and beyond the demands of the exam. Massey also uses and explains the "Theatre of the Oppressed" as a technique for enabling students to share feedback</w:t>
            </w:r>
            <w:r w:rsidRPr="3D307C68" w:rsidR="50126D89">
              <w:rPr>
                <w:rFonts w:ascii="Segoe UI Symbol" w:hAnsi="Segoe UI Symbol" w:eastAsia="Segoe UI Symbol" w:cs="Segoe UI Symbol"/>
                <w:noProof w:val="0"/>
                <w:lang w:val="en-GB"/>
              </w:rPr>
              <w:t xml:space="preserve"> </w:t>
            </w:r>
          </w:p>
        </w:tc>
      </w:tr>
      <w:tr w:rsidRPr="00F07217" w:rsidR="00403E3F" w:rsidTr="3D307C68"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3D307C68"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59B4C0DA" w:rsidP="3D307C68" w:rsidRDefault="59B4C0DA" w14:paraId="6E4BF327" w14:textId="42D68587">
            <w:pPr>
              <w:pStyle w:val="ListParagraph"/>
              <w:numPr>
                <w:ilvl w:val="0"/>
                <w:numId w:val="34"/>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sz w:val="24"/>
                <w:szCs w:val="24"/>
              </w:rPr>
            </w:pPr>
            <w:r w:rsidRPr="3D307C68" w:rsidR="59B4C0DA">
              <w:rPr>
                <w:rFonts w:ascii="Segoe UI Symbol" w:hAnsi="Segoe UI Symbol" w:eastAsia="Segoe UI Symbol" w:cs="Segoe UI Symbol"/>
                <w:sz w:val="24"/>
                <w:szCs w:val="24"/>
              </w:rPr>
              <w:t xml:space="preserve">How to check the progress of students formatively and </w:t>
            </w:r>
            <w:r w:rsidRPr="3D307C68" w:rsidR="59B4C0DA">
              <w:rPr>
                <w:rFonts w:ascii="Segoe UI Symbol" w:hAnsi="Segoe UI Symbol" w:eastAsia="Segoe UI Symbol" w:cs="Segoe UI Symbol"/>
                <w:sz w:val="24"/>
                <w:szCs w:val="24"/>
              </w:rPr>
              <w:t>summatively</w:t>
            </w:r>
            <w:r w:rsidRPr="3D307C68" w:rsidR="59B4C0DA">
              <w:rPr>
                <w:rFonts w:ascii="Segoe UI Symbol" w:hAnsi="Segoe UI Symbol" w:eastAsia="Segoe UI Symbol" w:cs="Segoe UI Symbol"/>
                <w:sz w:val="24"/>
                <w:szCs w:val="24"/>
              </w:rPr>
              <w:t>.</w:t>
            </w:r>
          </w:p>
          <w:p w:rsidR="3D307C68" w:rsidP="3D307C68" w:rsidRDefault="3D307C68" w14:paraId="33699068" w14:textId="2649780D">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sz w:val="24"/>
                <w:szCs w:val="24"/>
              </w:rPr>
            </w:pPr>
          </w:p>
          <w:p w:rsidR="6681EDA2" w:rsidP="3D307C68" w:rsidRDefault="6681EDA2" w14:paraId="50660157" w14:textId="1A5CF5E2">
            <w:pPr>
              <w:pStyle w:val="ListParagraph"/>
              <w:numPr>
                <w:ilvl w:val="0"/>
                <w:numId w:val="34"/>
              </w:numPr>
              <w:suppressLineNumbers w:val="0"/>
              <w:bidi w:val="0"/>
              <w:spacing w:before="0" w:beforeAutospacing="off" w:after="0" w:afterAutospacing="off" w:line="259" w:lineRule="auto"/>
              <w:ind w:left="720" w:right="0" w:hanging="360"/>
              <w:jc w:val="left"/>
              <w:rPr>
                <w:rFonts w:ascii="Segoe UI Symbol" w:hAnsi="Segoe UI Symbol" w:eastAsia="Segoe UI Symbol" w:cs="Segoe UI Symbol"/>
                <w:sz w:val="24"/>
                <w:szCs w:val="24"/>
              </w:rPr>
            </w:pPr>
            <w:r w:rsidRPr="3D307C68" w:rsidR="6681EDA2">
              <w:rPr>
                <w:rFonts w:ascii="Segoe UI Symbol" w:hAnsi="Segoe UI Symbol" w:eastAsia="Segoe UI Symbol" w:cs="Segoe UI Symbol"/>
                <w:sz w:val="24"/>
                <w:szCs w:val="24"/>
              </w:rPr>
              <w:t xml:space="preserve">How to give effective feedback (written and oral) to bring about progress. </w:t>
            </w:r>
          </w:p>
          <w:p w:rsidR="0BFF2A25" w:rsidP="0BFF2A25" w:rsidRDefault="0BFF2A25" w14:paraId="38F88F6C" w14:textId="584DA42C">
            <w:pPr>
              <w:pStyle w:val="Normal"/>
              <w:bidi w:val="0"/>
              <w:ind w:left="0"/>
              <w:rPr>
                <w:rFonts w:ascii="Segoe UI Symbol" w:hAnsi="Segoe UI Symbol" w:eastAsia="Segoe UI Symbol" w:cs="Segoe UI Symbol"/>
                <w:sz w:val="24"/>
                <w:szCs w:val="24"/>
              </w:rPr>
            </w:pPr>
          </w:p>
          <w:p w:rsidR="41D56B59" w:rsidP="41D56B59" w:rsidRDefault="41D56B59" w14:paraId="2033B6E9" w14:textId="3D7553B0">
            <w:pPr>
              <w:pStyle w:val="Normal"/>
              <w:bidi w:val="0"/>
              <w:ind w:left="0"/>
              <w:rPr>
                <w:rFonts w:ascii="Segoe UI Symbol" w:hAnsi="Segoe UI Symbol" w:eastAsia="Segoe UI Symbol" w:cs="Segoe UI Symbol"/>
                <w:sz w:val="24"/>
                <w:szCs w:val="24"/>
              </w:rPr>
            </w:pPr>
          </w:p>
          <w:p w:rsidR="07C1CC30" w:rsidP="07C1CC30" w:rsidRDefault="07C1CC30" w14:paraId="03B9EB4D" w14:textId="3ED0DC2F">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3D307C68"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3D307C68"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2DBF6CB3" w:rsidP="3D307C68" w:rsidRDefault="2DBF6CB3" w14:paraId="348A3542" w14:textId="3AB35FB1">
            <w:pPr>
              <w:pStyle w:val="ListParagraph"/>
              <w:numPr>
                <w:ilvl w:val="0"/>
                <w:numId w:val="3"/>
              </w:numPr>
              <w:rPr>
                <w:rFonts w:ascii="Segoe UI Symbol" w:hAnsi="Segoe UI Symbol" w:eastAsia="Segoe UI Symbol" w:cs="Segoe UI Symbol"/>
                <w:sz w:val="24"/>
                <w:szCs w:val="24"/>
              </w:rPr>
            </w:pPr>
            <w:r w:rsidRPr="3D307C68" w:rsidR="2DBF6CB3">
              <w:rPr>
                <w:rFonts w:ascii="Segoe UI Symbol" w:hAnsi="Segoe UI Symbol" w:eastAsia="Segoe UI Symbol" w:cs="Segoe UI Symbol"/>
                <w:sz w:val="24"/>
                <w:szCs w:val="24"/>
              </w:rPr>
              <w:t xml:space="preserve">Analyse the progress tracking strategy in your placement school and how your mentor uses this. </w:t>
            </w:r>
          </w:p>
          <w:p w:rsidR="3D307C68" w:rsidP="3D307C68" w:rsidRDefault="3D307C68" w14:paraId="10FE5746" w14:textId="78148099">
            <w:pPr>
              <w:pStyle w:val="Normal"/>
              <w:ind w:left="0"/>
              <w:rPr>
                <w:rFonts w:ascii="Segoe UI Symbol" w:hAnsi="Segoe UI Symbol" w:eastAsia="Segoe UI Symbol" w:cs="Segoe UI Symbol"/>
                <w:sz w:val="24"/>
                <w:szCs w:val="24"/>
              </w:rPr>
            </w:pPr>
          </w:p>
          <w:p w:rsidR="2DBF6CB3" w:rsidP="3D307C68" w:rsidRDefault="2DBF6CB3" w14:paraId="4D5B70CE" w14:textId="56B5E3FA">
            <w:pPr>
              <w:pStyle w:val="ListParagraph"/>
              <w:numPr>
                <w:ilvl w:val="0"/>
                <w:numId w:val="3"/>
              </w:numPr>
              <w:rPr>
                <w:rFonts w:ascii="Segoe UI Symbol" w:hAnsi="Segoe UI Symbol" w:eastAsia="Segoe UI Symbol" w:cs="Segoe UI Symbol"/>
                <w:sz w:val="24"/>
                <w:szCs w:val="24"/>
              </w:rPr>
            </w:pPr>
            <w:r w:rsidRPr="3D307C68" w:rsidR="2DBF6CB3">
              <w:rPr>
                <w:rFonts w:ascii="Segoe UI Symbol" w:hAnsi="Segoe UI Symbol" w:eastAsia="Segoe UI Symbol" w:cs="Segoe UI Symbol"/>
                <w:sz w:val="24"/>
                <w:szCs w:val="24"/>
              </w:rPr>
              <w:t xml:space="preserve"> Reflect on how your own progress tracking has developed and </w:t>
            </w:r>
            <w:r w:rsidRPr="3D307C68" w:rsidR="2DBF6CB3">
              <w:rPr>
                <w:rFonts w:ascii="Segoe UI Symbol" w:hAnsi="Segoe UI Symbol" w:eastAsia="Segoe UI Symbol" w:cs="Segoe UI Symbol"/>
                <w:sz w:val="24"/>
                <w:szCs w:val="24"/>
              </w:rPr>
              <w:t>identify</w:t>
            </w:r>
            <w:r w:rsidRPr="3D307C68" w:rsidR="2DBF6CB3">
              <w:rPr>
                <w:rFonts w:ascii="Segoe UI Symbol" w:hAnsi="Segoe UI Symbol" w:eastAsia="Segoe UI Symbol" w:cs="Segoe UI Symbol"/>
                <w:sz w:val="24"/>
                <w:szCs w:val="24"/>
              </w:rPr>
              <w:t xml:space="preserve"> ways to further strengthen this in your own teaching</w:t>
            </w:r>
          </w:p>
          <w:p w:rsidR="0BFF2A25" w:rsidP="0BFF2A25" w:rsidRDefault="0BFF2A25" w14:paraId="35C42306" w14:textId="33AF5FF5">
            <w:pPr>
              <w:pStyle w:val="Normal"/>
              <w:ind w:left="0"/>
              <w:rPr>
                <w:rFonts w:ascii="Segoe UI Symbol" w:hAnsi="Segoe UI Symbol" w:eastAsia="Segoe UI Symbol" w:cs="Segoe UI Symbol"/>
                <w:sz w:val="24"/>
                <w:szCs w:val="24"/>
              </w:rPr>
            </w:pPr>
          </w:p>
          <w:p w:rsidR="41D56B59" w:rsidP="41D56B59" w:rsidRDefault="41D56B59" w14:paraId="14E2F4DA" w14:textId="497B99CF">
            <w:pPr>
              <w:pStyle w:val="Normal"/>
              <w:ind w:left="0"/>
              <w:rPr>
                <w:rFonts w:ascii="Segoe UI Symbol" w:hAnsi="Segoe UI Symbol" w:eastAsia="Segoe UI Symbol" w:cs="Segoe UI Symbol"/>
                <w:sz w:val="24"/>
                <w:szCs w:val="24"/>
              </w:rPr>
            </w:pPr>
          </w:p>
          <w:p w:rsidR="07C1CC30" w:rsidP="07C1CC30" w:rsidRDefault="07C1CC30" w14:paraId="7319BA6E" w14:textId="669C0913">
            <w:pPr>
              <w:pStyle w:val="Normal"/>
              <w:widowControl w:val="1"/>
              <w:ind w:left="0"/>
              <w:rPr>
                <w:rFonts w:ascii="Segoe UI Symbol" w:hAnsi="Segoe UI Symbol" w:eastAsia="Segoe UI Symbol" w:cs="Segoe UI Symbol"/>
                <w:color w:val="000000" w:themeColor="text1" w:themeTint="FF" w:themeShade="FF"/>
                <w:sz w:val="24"/>
                <w:szCs w:val="24"/>
              </w:rPr>
            </w:pP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3D307C68"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8B1D2B" w:rsidP="66116E50" w:rsidRDefault="008B1D2B" w14:paraId="5F79C338" w14:textId="348ADE52">
            <w:pPr>
              <w:pStyle w:val="ListParagraph"/>
              <w:numPr>
                <w:ilvl w:val="0"/>
                <w:numId w:val="2"/>
              </w:numPr>
              <w:rPr>
                <w:rFonts w:ascii="Segoe UI Symbol" w:hAnsi="Segoe UI Symbol" w:eastAsia="Segoe UI Symbol" w:cs="Segoe UI Symbol"/>
                <w:sz w:val="24"/>
                <w:szCs w:val="24"/>
                <w:highlight w:val="yellow"/>
              </w:rPr>
            </w:pPr>
            <w:r w:rsidRPr="3D307C68" w:rsidR="6F908089">
              <w:rPr>
                <w:rFonts w:ascii="Segoe UI Symbol" w:hAnsi="Segoe UI Symbol" w:eastAsia="Segoe UI Symbol" w:cs="Segoe UI Symbol"/>
                <w:sz w:val="24"/>
                <w:szCs w:val="24"/>
                <w:highlight w:val="yellow"/>
              </w:rPr>
              <w:t xml:space="preserve">How do you </w:t>
            </w:r>
            <w:r w:rsidRPr="3D307C68" w:rsidR="6F908089">
              <w:rPr>
                <w:rFonts w:ascii="Segoe UI Symbol" w:hAnsi="Segoe UI Symbol" w:eastAsia="Segoe UI Symbol" w:cs="Segoe UI Symbol"/>
                <w:sz w:val="24"/>
                <w:szCs w:val="24"/>
                <w:highlight w:val="yellow"/>
              </w:rPr>
              <w:t>monitor</w:t>
            </w:r>
            <w:r w:rsidRPr="3D307C68" w:rsidR="6F908089">
              <w:rPr>
                <w:rFonts w:ascii="Segoe UI Symbol" w:hAnsi="Segoe UI Symbol" w:eastAsia="Segoe UI Symbol" w:cs="Segoe UI Symbol"/>
                <w:sz w:val="24"/>
                <w:szCs w:val="24"/>
                <w:highlight w:val="yellow"/>
              </w:rPr>
              <w:t xml:space="preserve"> pupil work during lessons and use assessment data to make informed decisions about adjusting your teaching?</w:t>
            </w:r>
          </w:p>
          <w:p w:rsidRPr="00523D39" w:rsidR="008B1D2B" w:rsidP="3D307C68" w:rsidRDefault="008B1D2B" w14:paraId="283AAF7F" w14:textId="12A2072D">
            <w:pPr>
              <w:pStyle w:val="Normal"/>
              <w:ind w:left="0"/>
              <w:rPr>
                <w:rFonts w:ascii="Segoe UI Symbol" w:hAnsi="Segoe UI Symbol" w:eastAsia="Segoe UI Symbol" w:cs="Segoe UI Symbol"/>
                <w:sz w:val="24"/>
                <w:szCs w:val="24"/>
                <w:highlight w:val="yellow"/>
              </w:rPr>
            </w:pPr>
          </w:p>
          <w:p w:rsidRPr="00523D39" w:rsidR="008B1D2B" w:rsidP="66116E50" w:rsidRDefault="008B1D2B" w14:paraId="11852BB5" w14:textId="1979E102">
            <w:pPr>
              <w:pStyle w:val="ListParagraph"/>
              <w:numPr>
                <w:ilvl w:val="0"/>
                <w:numId w:val="2"/>
              </w:numPr>
              <w:rPr>
                <w:rFonts w:ascii="Segoe UI Symbol" w:hAnsi="Segoe UI Symbol" w:eastAsia="Segoe UI Symbol" w:cs="Segoe UI Symbol"/>
                <w:sz w:val="24"/>
                <w:szCs w:val="24"/>
                <w:highlight w:val="yellow"/>
              </w:rPr>
            </w:pPr>
            <w:r w:rsidRPr="3D307C68" w:rsidR="6F908089">
              <w:rPr>
                <w:rFonts w:ascii="Segoe UI Symbol" w:hAnsi="Segoe UI Symbol" w:eastAsia="Segoe UI Symbol" w:cs="Segoe UI Symbol"/>
                <w:sz w:val="24"/>
                <w:szCs w:val="24"/>
                <w:highlight w:val="yellow"/>
              </w:rPr>
              <w:t>Explain your use of subject examination material to structure assessment tasks and provide feedback/feedforward to pupils.</w:t>
            </w:r>
          </w:p>
        </w:tc>
      </w:tr>
      <w:tr w:rsidRPr="00F07217" w:rsidR="00B5000E" w:rsidTr="3D307C68"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3D307C68"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3D307C68"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3D307C68"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3D307C68"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3D307C68"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3D307C68"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D307C68"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D307C68"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3D307C68"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BFF2A25" w:rsidRDefault="0BFF2A25" w14:paraId="137C53F6" w14:textId="37774BFD"/>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322418"/>
    <w:rsid w:val="02498DF2"/>
    <w:rsid w:val="027E7B40"/>
    <w:rsid w:val="02D6B5D1"/>
    <w:rsid w:val="042A0780"/>
    <w:rsid w:val="04E7CE3D"/>
    <w:rsid w:val="05038555"/>
    <w:rsid w:val="0514B944"/>
    <w:rsid w:val="051FCE2B"/>
    <w:rsid w:val="05592BA6"/>
    <w:rsid w:val="05DF0937"/>
    <w:rsid w:val="05E13E40"/>
    <w:rsid w:val="067536BF"/>
    <w:rsid w:val="06ADBEBA"/>
    <w:rsid w:val="06B72B9C"/>
    <w:rsid w:val="06D358C7"/>
    <w:rsid w:val="06D779E4"/>
    <w:rsid w:val="07363FCA"/>
    <w:rsid w:val="07AA26F4"/>
    <w:rsid w:val="07B7B024"/>
    <w:rsid w:val="07C1CC30"/>
    <w:rsid w:val="07CD1810"/>
    <w:rsid w:val="083BE246"/>
    <w:rsid w:val="08A6A640"/>
    <w:rsid w:val="08FEF37E"/>
    <w:rsid w:val="0935BEA5"/>
    <w:rsid w:val="098F82FD"/>
    <w:rsid w:val="09D1A08E"/>
    <w:rsid w:val="09E82679"/>
    <w:rsid w:val="0AA1E10E"/>
    <w:rsid w:val="0ABBB43B"/>
    <w:rsid w:val="0AE1976C"/>
    <w:rsid w:val="0B046448"/>
    <w:rsid w:val="0B3EB9E1"/>
    <w:rsid w:val="0BDE4702"/>
    <w:rsid w:val="0BE2BCC0"/>
    <w:rsid w:val="0BFAD37E"/>
    <w:rsid w:val="0BFF2A25"/>
    <w:rsid w:val="0CA4559B"/>
    <w:rsid w:val="0CE74454"/>
    <w:rsid w:val="0D7A1763"/>
    <w:rsid w:val="0D7AE4DB"/>
    <w:rsid w:val="0DC4A605"/>
    <w:rsid w:val="0E7396BC"/>
    <w:rsid w:val="0F15E7C4"/>
    <w:rsid w:val="0F6DCC29"/>
    <w:rsid w:val="0F755231"/>
    <w:rsid w:val="0F807642"/>
    <w:rsid w:val="0FDBF65D"/>
    <w:rsid w:val="107CBA5D"/>
    <w:rsid w:val="10B1B825"/>
    <w:rsid w:val="10EFD998"/>
    <w:rsid w:val="1155D281"/>
    <w:rsid w:val="11CE4AC6"/>
    <w:rsid w:val="11CE4AC6"/>
    <w:rsid w:val="12047CBC"/>
    <w:rsid w:val="1292F5D9"/>
    <w:rsid w:val="1296A844"/>
    <w:rsid w:val="12981728"/>
    <w:rsid w:val="1359D3BE"/>
    <w:rsid w:val="136A1B27"/>
    <w:rsid w:val="13D06A63"/>
    <w:rsid w:val="14B59707"/>
    <w:rsid w:val="154F549C"/>
    <w:rsid w:val="165B9FE0"/>
    <w:rsid w:val="166F18F2"/>
    <w:rsid w:val="17601E8A"/>
    <w:rsid w:val="1771B7C3"/>
    <w:rsid w:val="179B1FF1"/>
    <w:rsid w:val="183E27DF"/>
    <w:rsid w:val="18446080"/>
    <w:rsid w:val="18573EB4"/>
    <w:rsid w:val="1872E06F"/>
    <w:rsid w:val="187DC252"/>
    <w:rsid w:val="194BC190"/>
    <w:rsid w:val="196408A5"/>
    <w:rsid w:val="1A46CC02"/>
    <w:rsid w:val="1A8891CC"/>
    <w:rsid w:val="1B4859F2"/>
    <w:rsid w:val="1B56F7DA"/>
    <w:rsid w:val="1C24622D"/>
    <w:rsid w:val="1C800FE3"/>
    <w:rsid w:val="1D79BFB2"/>
    <w:rsid w:val="1D7AEBB6"/>
    <w:rsid w:val="1E7EBD7C"/>
    <w:rsid w:val="1E973C26"/>
    <w:rsid w:val="1EDE98A9"/>
    <w:rsid w:val="1F159013"/>
    <w:rsid w:val="1F1FF911"/>
    <w:rsid w:val="1F985692"/>
    <w:rsid w:val="1FC31179"/>
    <w:rsid w:val="205134C6"/>
    <w:rsid w:val="2064C9F7"/>
    <w:rsid w:val="207A690A"/>
    <w:rsid w:val="2096CDB8"/>
    <w:rsid w:val="20ED0A5F"/>
    <w:rsid w:val="2118783D"/>
    <w:rsid w:val="2154FD0C"/>
    <w:rsid w:val="2216396B"/>
    <w:rsid w:val="222F2C5D"/>
    <w:rsid w:val="224ACAE7"/>
    <w:rsid w:val="22B2D7B9"/>
    <w:rsid w:val="2348E162"/>
    <w:rsid w:val="23AAA3EE"/>
    <w:rsid w:val="240A65EC"/>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A8F92D"/>
    <w:rsid w:val="2B02B945"/>
    <w:rsid w:val="2CE3753F"/>
    <w:rsid w:val="2D032A57"/>
    <w:rsid w:val="2D78DEC3"/>
    <w:rsid w:val="2D79DF26"/>
    <w:rsid w:val="2DA22EC5"/>
    <w:rsid w:val="2DBF6CB3"/>
    <w:rsid w:val="2DCF18D6"/>
    <w:rsid w:val="2E1F2954"/>
    <w:rsid w:val="2E7E50BC"/>
    <w:rsid w:val="2E83A66F"/>
    <w:rsid w:val="2EA9D22D"/>
    <w:rsid w:val="2EBD668D"/>
    <w:rsid w:val="2F0B69D1"/>
    <w:rsid w:val="318E1FF3"/>
    <w:rsid w:val="31E891B0"/>
    <w:rsid w:val="320BFDA4"/>
    <w:rsid w:val="320F3ABA"/>
    <w:rsid w:val="3218B464"/>
    <w:rsid w:val="321C324A"/>
    <w:rsid w:val="3232C097"/>
    <w:rsid w:val="32474805"/>
    <w:rsid w:val="326C44A4"/>
    <w:rsid w:val="32EF65E9"/>
    <w:rsid w:val="33A7CE05"/>
    <w:rsid w:val="340AD684"/>
    <w:rsid w:val="3434A3A4"/>
    <w:rsid w:val="34863FBE"/>
    <w:rsid w:val="34980AFC"/>
    <w:rsid w:val="34B3BD21"/>
    <w:rsid w:val="34E4DD6B"/>
    <w:rsid w:val="35167A6B"/>
    <w:rsid w:val="353CB737"/>
    <w:rsid w:val="35439E66"/>
    <w:rsid w:val="3553D30C"/>
    <w:rsid w:val="35BE3730"/>
    <w:rsid w:val="35BE3730"/>
    <w:rsid w:val="3657C0EA"/>
    <w:rsid w:val="36A09214"/>
    <w:rsid w:val="36C781C9"/>
    <w:rsid w:val="3704D012"/>
    <w:rsid w:val="377FBC2E"/>
    <w:rsid w:val="37827B47"/>
    <w:rsid w:val="37BB374B"/>
    <w:rsid w:val="37CFABBE"/>
    <w:rsid w:val="38272833"/>
    <w:rsid w:val="385DB780"/>
    <w:rsid w:val="3919F3B5"/>
    <w:rsid w:val="39437105"/>
    <w:rsid w:val="396B7C1F"/>
    <w:rsid w:val="39AAF93D"/>
    <w:rsid w:val="39E9C567"/>
    <w:rsid w:val="39FD9A14"/>
    <w:rsid w:val="3AC9B0B5"/>
    <w:rsid w:val="3B2861F4"/>
    <w:rsid w:val="3B550861"/>
    <w:rsid w:val="3C0A23B7"/>
    <w:rsid w:val="3CA67D74"/>
    <w:rsid w:val="3CA87BD8"/>
    <w:rsid w:val="3CD052A3"/>
    <w:rsid w:val="3CF33A1C"/>
    <w:rsid w:val="3D307C68"/>
    <w:rsid w:val="3D4131D0"/>
    <w:rsid w:val="3D4E463A"/>
    <w:rsid w:val="3DA5F418"/>
    <w:rsid w:val="3E3551F9"/>
    <w:rsid w:val="3E99CB48"/>
    <w:rsid w:val="3E9D5FCC"/>
    <w:rsid w:val="3ECADF08"/>
    <w:rsid w:val="3FD00E91"/>
    <w:rsid w:val="3FD1225A"/>
    <w:rsid w:val="3FE57AD3"/>
    <w:rsid w:val="400C9F9D"/>
    <w:rsid w:val="4053906B"/>
    <w:rsid w:val="40C55E80"/>
    <w:rsid w:val="40CA41DC"/>
    <w:rsid w:val="4124CAE8"/>
    <w:rsid w:val="41371B0E"/>
    <w:rsid w:val="41BAFADB"/>
    <w:rsid w:val="41D56B59"/>
    <w:rsid w:val="41E40230"/>
    <w:rsid w:val="41EB7169"/>
    <w:rsid w:val="4257EB4B"/>
    <w:rsid w:val="425B3DBE"/>
    <w:rsid w:val="42DF0615"/>
    <w:rsid w:val="433956B4"/>
    <w:rsid w:val="44452910"/>
    <w:rsid w:val="44C6C66B"/>
    <w:rsid w:val="4532E142"/>
    <w:rsid w:val="45506867"/>
    <w:rsid w:val="45C547D9"/>
    <w:rsid w:val="467A702A"/>
    <w:rsid w:val="46B79B5D"/>
    <w:rsid w:val="47205C19"/>
    <w:rsid w:val="47B2CCA3"/>
    <w:rsid w:val="480CC7D7"/>
    <w:rsid w:val="487B7D76"/>
    <w:rsid w:val="4894EDFF"/>
    <w:rsid w:val="48E9CA5F"/>
    <w:rsid w:val="4960774B"/>
    <w:rsid w:val="4963E97C"/>
    <w:rsid w:val="497C322E"/>
    <w:rsid w:val="49E69633"/>
    <w:rsid w:val="4A1323C9"/>
    <w:rsid w:val="4A301306"/>
    <w:rsid w:val="4AD2B7AE"/>
    <w:rsid w:val="4CB25E5E"/>
    <w:rsid w:val="4CB64C4E"/>
    <w:rsid w:val="4CDDD7AC"/>
    <w:rsid w:val="4CF77990"/>
    <w:rsid w:val="4D343BD4"/>
    <w:rsid w:val="4D4AC48B"/>
    <w:rsid w:val="4DEC5CBF"/>
    <w:rsid w:val="4E4CC4F0"/>
    <w:rsid w:val="4E6F6FEC"/>
    <w:rsid w:val="4F25B46A"/>
    <w:rsid w:val="4F699094"/>
    <w:rsid w:val="4FDF6A4C"/>
    <w:rsid w:val="50126D89"/>
    <w:rsid w:val="501FB3EB"/>
    <w:rsid w:val="50384C11"/>
    <w:rsid w:val="5055D7D6"/>
    <w:rsid w:val="506EA393"/>
    <w:rsid w:val="508E7716"/>
    <w:rsid w:val="508F3F52"/>
    <w:rsid w:val="50A156DD"/>
    <w:rsid w:val="50F92EB5"/>
    <w:rsid w:val="5155D304"/>
    <w:rsid w:val="5172EE7E"/>
    <w:rsid w:val="51CE74CE"/>
    <w:rsid w:val="520969CA"/>
    <w:rsid w:val="52615CD7"/>
    <w:rsid w:val="527F3012"/>
    <w:rsid w:val="5309EC17"/>
    <w:rsid w:val="53B1945B"/>
    <w:rsid w:val="53E17880"/>
    <w:rsid w:val="53E3FCA0"/>
    <w:rsid w:val="54AC743F"/>
    <w:rsid w:val="552A6478"/>
    <w:rsid w:val="55307419"/>
    <w:rsid w:val="555831DC"/>
    <w:rsid w:val="558C72EE"/>
    <w:rsid w:val="55B6CDEB"/>
    <w:rsid w:val="565D2E94"/>
    <w:rsid w:val="568CEC13"/>
    <w:rsid w:val="571B9D62"/>
    <w:rsid w:val="575F4AA5"/>
    <w:rsid w:val="5788AE22"/>
    <w:rsid w:val="57DD5D3A"/>
    <w:rsid w:val="57F8FEF5"/>
    <w:rsid w:val="582BA449"/>
    <w:rsid w:val="58671942"/>
    <w:rsid w:val="588FD29E"/>
    <w:rsid w:val="58A8A60D"/>
    <w:rsid w:val="592A1C42"/>
    <w:rsid w:val="595F7AFB"/>
    <w:rsid w:val="5994CF56"/>
    <w:rsid w:val="59B4C0DA"/>
    <w:rsid w:val="59B9767D"/>
    <w:rsid w:val="59F140F3"/>
    <w:rsid w:val="5A995698"/>
    <w:rsid w:val="5B4F8EFF"/>
    <w:rsid w:val="5BEF0E85"/>
    <w:rsid w:val="5C1FD0E7"/>
    <w:rsid w:val="5CB5C4B6"/>
    <w:rsid w:val="5D56093F"/>
    <w:rsid w:val="5DD0F75A"/>
    <w:rsid w:val="5DE60F8E"/>
    <w:rsid w:val="5DFBA630"/>
    <w:rsid w:val="5E0D3775"/>
    <w:rsid w:val="5E3AB1F5"/>
    <w:rsid w:val="5F33CA45"/>
    <w:rsid w:val="5F6CC7BB"/>
    <w:rsid w:val="5F7E057A"/>
    <w:rsid w:val="5F8F718C"/>
    <w:rsid w:val="605902CA"/>
    <w:rsid w:val="6085C347"/>
    <w:rsid w:val="60C519E5"/>
    <w:rsid w:val="617323AD"/>
    <w:rsid w:val="617CC7CB"/>
    <w:rsid w:val="6239EC13"/>
    <w:rsid w:val="6260EA46"/>
    <w:rsid w:val="63410812"/>
    <w:rsid w:val="6349D8CD"/>
    <w:rsid w:val="63BEEF02"/>
    <w:rsid w:val="644A8E56"/>
    <w:rsid w:val="644EE0C7"/>
    <w:rsid w:val="646C731D"/>
    <w:rsid w:val="64A81E23"/>
    <w:rsid w:val="64AA1B5E"/>
    <w:rsid w:val="64E5A92E"/>
    <w:rsid w:val="6515CD37"/>
    <w:rsid w:val="651E917F"/>
    <w:rsid w:val="65686D22"/>
    <w:rsid w:val="65AA246D"/>
    <w:rsid w:val="66116E50"/>
    <w:rsid w:val="6681EDA2"/>
    <w:rsid w:val="66B25ABE"/>
    <w:rsid w:val="6776F2E3"/>
    <w:rsid w:val="67D6FB70"/>
    <w:rsid w:val="6868C5A8"/>
    <w:rsid w:val="68F49F38"/>
    <w:rsid w:val="69428FD3"/>
    <w:rsid w:val="6A236677"/>
    <w:rsid w:val="6A52D3CE"/>
    <w:rsid w:val="6A76DF6D"/>
    <w:rsid w:val="6B9032D0"/>
    <w:rsid w:val="6C215E17"/>
    <w:rsid w:val="6C430460"/>
    <w:rsid w:val="6C5C69E0"/>
    <w:rsid w:val="6CA1235F"/>
    <w:rsid w:val="6CB53EDC"/>
    <w:rsid w:val="6CC40E85"/>
    <w:rsid w:val="6D2F1731"/>
    <w:rsid w:val="6D96986F"/>
    <w:rsid w:val="6E25193E"/>
    <w:rsid w:val="6E25193E"/>
    <w:rsid w:val="6E30F3B7"/>
    <w:rsid w:val="6E5ECDA4"/>
    <w:rsid w:val="6EDA8A3D"/>
    <w:rsid w:val="6F25146C"/>
    <w:rsid w:val="6F908089"/>
    <w:rsid w:val="6F9839BB"/>
    <w:rsid w:val="6FEFD282"/>
    <w:rsid w:val="6FEFE4E3"/>
    <w:rsid w:val="6FF9FDC2"/>
    <w:rsid w:val="7026EEBD"/>
    <w:rsid w:val="704A270F"/>
    <w:rsid w:val="70FCA47A"/>
    <w:rsid w:val="710B7C27"/>
    <w:rsid w:val="7157CB74"/>
    <w:rsid w:val="7163A1EC"/>
    <w:rsid w:val="7185978E"/>
    <w:rsid w:val="720CB4F4"/>
    <w:rsid w:val="7219536B"/>
    <w:rsid w:val="726A6F7A"/>
    <w:rsid w:val="7271A0A9"/>
    <w:rsid w:val="72A540F3"/>
    <w:rsid w:val="72AF8EE3"/>
    <w:rsid w:val="72B9B6E3"/>
    <w:rsid w:val="72DF23DF"/>
    <w:rsid w:val="72FF7076"/>
    <w:rsid w:val="739FDEBF"/>
    <w:rsid w:val="73F534AC"/>
    <w:rsid w:val="748F05E7"/>
    <w:rsid w:val="749AD399"/>
    <w:rsid w:val="74A954B0"/>
    <w:rsid w:val="74B1080E"/>
    <w:rsid w:val="7526E531"/>
    <w:rsid w:val="752AD73C"/>
    <w:rsid w:val="7550F42D"/>
    <w:rsid w:val="75C4B713"/>
    <w:rsid w:val="75EF8FEB"/>
    <w:rsid w:val="7607EA7E"/>
    <w:rsid w:val="7619328B"/>
    <w:rsid w:val="761CC460"/>
    <w:rsid w:val="77ED4A28"/>
    <w:rsid w:val="785F5BA0"/>
    <w:rsid w:val="7882B192"/>
    <w:rsid w:val="79667E0A"/>
    <w:rsid w:val="797409E7"/>
    <w:rsid w:val="79917CD3"/>
    <w:rsid w:val="79FE85F5"/>
    <w:rsid w:val="7A0EBDD9"/>
    <w:rsid w:val="7A979A50"/>
    <w:rsid w:val="7AAEF603"/>
    <w:rsid w:val="7B94C73C"/>
    <w:rsid w:val="7BAEE0AB"/>
    <w:rsid w:val="7C0B0F79"/>
    <w:rsid w:val="7C562421"/>
    <w:rsid w:val="7D1CFE5A"/>
    <w:rsid w:val="7D30979D"/>
    <w:rsid w:val="7E0396A6"/>
    <w:rsid w:val="7E932AC8"/>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glossary-tooltip-text" w:customStyle="true">
    <w:uiPriority w:val="1"/>
    <w:name w:val="glossary-tooltip-text"/>
    <w:basedOn w:val="DefaultParagraphFont"/>
    <w:rsid w:val="66116E50"/>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journals.sagepub.com/doi/abs/10.3102/0034654318759268" TargetMode="External" Id="R1dd74abf69fe493b" /><Relationship Type="http://schemas.openxmlformats.org/officeDocument/2006/relationships/hyperlink" Target="https://edgehill-my.sharepoint.com/:b:/g/personal/millingg_edgehill_ac_uk/ETWE-h3wCFtGmnSBnEPCUYIBz6e9P2zTQwgga1OQeaZXNQ?e=JpZKrK" TargetMode="External" Id="Rc240d623808a47cb"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xmlns:wp14="http://schemas.microsoft.com/office/word/2010/wordml" w14:paraId="3B5308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23</revision>
  <lastPrinted>2023-05-18T14:08:00.0000000Z</lastPrinted>
  <dcterms:created xsi:type="dcterms:W3CDTF">2023-11-23T09:09:00.0000000Z</dcterms:created>
  <dcterms:modified xsi:type="dcterms:W3CDTF">2024-04-25T09:28:12.5125283Z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