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7"/>
        <w:gridCol w:w="905"/>
        <w:gridCol w:w="1687"/>
        <w:gridCol w:w="1133"/>
        <w:gridCol w:w="557"/>
        <w:gridCol w:w="516"/>
        <w:gridCol w:w="1203"/>
        <w:gridCol w:w="575"/>
        <w:gridCol w:w="1124"/>
        <w:gridCol w:w="1192"/>
        <w:gridCol w:w="47"/>
        <w:gridCol w:w="657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3A0818FC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697A47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186582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EFF69F2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6E516F4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62FB316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4526D53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0CECB8E6" w:rsidR="004009A7" w:rsidRPr="00523D39" w:rsidRDefault="00F60FF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Developmental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DCE00A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707E15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6879FCFF" w:rsidR="004009A7" w:rsidRPr="00D21504" w:rsidRDefault="00D21504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1504">
              <w:rPr>
                <w:rFonts w:ascii="Cambria" w:hAnsi="Cambria"/>
                <w:b/>
                <w:bCs/>
                <w:sz w:val="18"/>
                <w:szCs w:val="18"/>
              </w:rPr>
              <w:t>PGCE Secondary Mathematics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B8A068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E27D1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C26EC1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</w:t>
            </w:r>
            <w:r w:rsidR="005113AE"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A847" w14:textId="1B5D3C6D" w:rsidR="00BE47F7" w:rsidRPr="007C4E1E" w:rsidRDefault="00F45E23" w:rsidP="00BE47F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4E1E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  <w:t>Summary</w:t>
            </w:r>
          </w:p>
          <w:p w14:paraId="0CEBBA7B" w14:textId="77777777" w:rsidR="007C4E1E" w:rsidRPr="007C4E1E" w:rsidRDefault="007C4E1E" w:rsidP="00BE47F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6D865F3" w14:textId="4CF3E604" w:rsidR="007C4E1E" w:rsidRPr="007C4E1E" w:rsidRDefault="007C4E1E" w:rsidP="00BE47F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4E1E">
              <w:rPr>
                <w:rFonts w:ascii="Cambria" w:hAnsi="Cambria" w:cstheme="minorHAnsi"/>
                <w:color w:val="000000"/>
                <w:sz w:val="22"/>
                <w:szCs w:val="22"/>
                <w:shd w:val="clear" w:color="auto" w:fill="FFFFFF"/>
              </w:rPr>
              <w:t>The study assesses the impact of professional development (PD) programs on student literacy in primary schools. Meta-analysis reveals a modest enhancement in literacy, particularly with shorter PD durations combined with high-quality content. Future research advocates for coaching-based programs, highlighting their potential for better outcomes. Cost-benefit analyses are recommended to evaluate PD effectiveness. The study advocates for focusing on phonological awareness, phonics, vocabulary, fluency, and comprehension. A Weight of Evidence (WOE) analysis underscores the importance of shorter, high-quality PD. In conclusion, rigorous and standardised PD approaches are urged to align with literacy goals and maximize effectiveness.</w:t>
            </w:r>
          </w:p>
          <w:p w14:paraId="39240A8E" w14:textId="77777777" w:rsidR="00342794" w:rsidRPr="007C4E1E" w:rsidRDefault="00342794" w:rsidP="00BE47F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5C59E09" w14:textId="77777777" w:rsidR="008D31FA" w:rsidRPr="007C4E1E" w:rsidRDefault="008D31FA" w:rsidP="00D21504">
            <w:pPr>
              <w:jc w:val="both"/>
              <w:rPr>
                <w:rFonts w:ascii="Cambria" w:hAnsi="Cambria" w:cstheme="minorHAnsi"/>
                <w:color w:val="000000" w:themeColor="text1"/>
                <w:highlight w:val="yellow"/>
                <w:shd w:val="clear" w:color="auto" w:fill="FFFFFF"/>
              </w:rPr>
            </w:pPr>
          </w:p>
          <w:p w14:paraId="2FAF0FB7" w14:textId="77777777" w:rsidR="009E4101" w:rsidRPr="007C4E1E" w:rsidRDefault="009E4101" w:rsidP="00D21504">
            <w:pPr>
              <w:jc w:val="both"/>
              <w:rPr>
                <w:rFonts w:ascii="Cambria" w:hAnsi="Cambria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7C4E1E">
              <w:rPr>
                <w:rFonts w:ascii="Cambria" w:hAnsi="Cambria" w:cstheme="min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Limitations</w:t>
            </w:r>
            <w:r w:rsidRPr="007C4E1E">
              <w:rPr>
                <w:rFonts w:ascii="Cambria" w:hAnsi="Cambria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</w:p>
          <w:p w14:paraId="717945D6" w14:textId="77777777" w:rsidR="007C4E1E" w:rsidRPr="007C4E1E" w:rsidRDefault="007C4E1E" w:rsidP="00D21504">
            <w:pPr>
              <w:jc w:val="both"/>
              <w:rPr>
                <w:rFonts w:ascii="Cambria" w:hAnsi="Cambria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14:paraId="44082937" w14:textId="0E7A724C" w:rsidR="007C4E1E" w:rsidRPr="007C4E1E" w:rsidRDefault="007C4E1E" w:rsidP="00D21504">
            <w:pPr>
              <w:jc w:val="both"/>
              <w:rPr>
                <w:rFonts w:ascii="Cambria" w:hAnsi="Cambria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7C4E1E">
              <w:rPr>
                <w:rFonts w:ascii="Cambria" w:hAnsi="Cambria" w:cstheme="minorHAnsi"/>
                <w:shd w:val="clear" w:color="auto" w:fill="FFFFFF"/>
              </w:rPr>
              <w:t>The sample sizes selected were small, reporting issues were troublesome and variable, and there was also variability in PD quality and content.</w:t>
            </w:r>
          </w:p>
          <w:p w14:paraId="0DC53FBF" w14:textId="77777777" w:rsidR="00106BEE" w:rsidRPr="007C4E1E" w:rsidRDefault="00106BEE" w:rsidP="00D21504">
            <w:pPr>
              <w:jc w:val="both"/>
              <w:rPr>
                <w:rFonts w:ascii="Cambria" w:hAnsi="Cambria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14:paraId="65811869" w14:textId="77777777" w:rsidR="008D31FA" w:rsidRPr="007C4E1E" w:rsidRDefault="008D31FA" w:rsidP="00D21504">
            <w:pPr>
              <w:jc w:val="both"/>
              <w:rPr>
                <w:rFonts w:ascii="Cambria" w:hAnsi="Cambria" w:cstheme="minorHAnsi"/>
                <w:b/>
                <w:bCs/>
                <w:color w:val="000000" w:themeColor="text1"/>
                <w:highlight w:val="yellow"/>
              </w:rPr>
            </w:pPr>
          </w:p>
          <w:p w14:paraId="1E103306" w14:textId="77777777" w:rsidR="009E4101" w:rsidRPr="007C4E1E" w:rsidRDefault="00F45E23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4E1E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  <w:t>Reference</w:t>
            </w:r>
          </w:p>
          <w:p w14:paraId="73C829B5" w14:textId="77777777" w:rsidR="007C4E1E" w:rsidRPr="007C4E1E" w:rsidRDefault="007C4E1E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95046FB" w14:textId="2E461553" w:rsidR="007C4E1E" w:rsidRPr="007C4E1E" w:rsidRDefault="007C4E1E" w:rsidP="007C4E1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7C4E1E">
              <w:rPr>
                <w:rFonts w:ascii="Cambria" w:hAnsi="Cambria" w:cstheme="minorHAnsi"/>
                <w:color w:val="000000"/>
                <w:sz w:val="22"/>
                <w:szCs w:val="22"/>
                <w:shd w:val="clear" w:color="auto" w:fill="FFFFFF"/>
              </w:rPr>
              <w:t>Ba</w:t>
            </w:r>
            <w:r w:rsidR="00454D43">
              <w:rPr>
                <w:rFonts w:ascii="Cambria" w:hAnsi="Cambria" w:cstheme="minorHAnsi"/>
                <w:color w:val="000000"/>
                <w:sz w:val="22"/>
                <w:szCs w:val="22"/>
                <w:shd w:val="clear" w:color="auto" w:fill="FFFFFF"/>
              </w:rPr>
              <w:t>sma</w:t>
            </w:r>
            <w:r w:rsidRPr="007C4E1E">
              <w:rPr>
                <w:rFonts w:ascii="Cambria" w:hAnsi="Cambria" w:cstheme="minorHAnsi"/>
                <w:color w:val="000000"/>
                <w:sz w:val="22"/>
                <w:szCs w:val="22"/>
                <w:shd w:val="clear" w:color="auto" w:fill="FFFFFF"/>
              </w:rPr>
              <w:t>, B. &amp; Savage, R. (2018)</w:t>
            </w:r>
          </w:p>
          <w:p w14:paraId="3372B540" w14:textId="5D52EF48" w:rsidR="007C4E1E" w:rsidRPr="007C4E1E" w:rsidRDefault="007C4E1E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C4E1E">
              <w:rPr>
                <w:rFonts w:ascii="Cambria" w:hAnsi="Cambria" w:cstheme="minorHAnsi"/>
                <w:color w:val="000000"/>
                <w:sz w:val="22"/>
                <w:szCs w:val="22"/>
                <w:shd w:val="clear" w:color="auto" w:fill="FFFFFF"/>
              </w:rPr>
              <w:t>Teacher Professional Development and Student Literacy Growth: a Systematic Review and Meta-analysis.</w:t>
            </w:r>
          </w:p>
          <w:p w14:paraId="47523D63" w14:textId="2E0F6C2E" w:rsidR="007C4E1E" w:rsidRPr="007C4E1E" w:rsidRDefault="00454D43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  <w:hyperlink r:id="rId12" w:history="1">
              <w:r w:rsidR="007C4E1E" w:rsidRPr="007C4E1E">
                <w:rPr>
                  <w:rStyle w:val="Hyperlink"/>
                  <w:rFonts w:ascii="Cambria" w:hAnsi="Cambria" w:cstheme="minorHAnsi"/>
                  <w:b/>
                  <w:bCs/>
                  <w:sz w:val="22"/>
                  <w:szCs w:val="22"/>
                </w:rPr>
                <w:t>https://link.springer.com/article/10.1007/s10648-017-9416-4</w:t>
              </w:r>
            </w:hyperlink>
          </w:p>
          <w:p w14:paraId="6071F449" w14:textId="3654F048" w:rsidR="00901A6E" w:rsidRPr="007C4E1E" w:rsidRDefault="00901A6E" w:rsidP="00571C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84CB" w14:textId="4B1D220F" w:rsidR="00901A6E" w:rsidRDefault="00454D43" w:rsidP="00571C11">
            <w:pPr>
              <w:pStyle w:val="Heading1"/>
              <w:shd w:val="clear" w:color="auto" w:fill="FCFCFC"/>
              <w:spacing w:before="24" w:beforeAutospacing="0" w:after="120" w:afterAutospacing="0" w:line="264" w:lineRule="atLeast"/>
              <w:rPr>
                <w:rFonts w:ascii="Cambria" w:hAnsi="Cambria"/>
                <w:b w:val="0"/>
                <w:bCs w:val="0"/>
                <w:color w:val="404040"/>
                <w:sz w:val="22"/>
                <w:szCs w:val="22"/>
              </w:rPr>
            </w:pPr>
            <w:hyperlink r:id="rId14" w:history="1">
              <w:r w:rsidR="00186582" w:rsidRPr="00186582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Cambridge Mathematics Expresso (Research)</w:t>
              </w:r>
            </w:hyperlink>
          </w:p>
          <w:p w14:paraId="05E21F77" w14:textId="77777777" w:rsidR="00186582" w:rsidRDefault="00186582" w:rsidP="00571C11">
            <w:pPr>
              <w:pStyle w:val="Heading1"/>
              <w:shd w:val="clear" w:color="auto" w:fill="FCFCFC"/>
              <w:spacing w:before="24" w:beforeAutospacing="0" w:after="120" w:afterAutospacing="0" w:line="264" w:lineRule="atLeast"/>
              <w:rPr>
                <w:rFonts w:ascii="Cambria" w:hAnsi="Cambria"/>
                <w:b w:val="0"/>
                <w:bCs w:val="0"/>
                <w:color w:val="404040"/>
                <w:sz w:val="22"/>
                <w:szCs w:val="22"/>
              </w:rPr>
            </w:pPr>
          </w:p>
          <w:p w14:paraId="2F04C31B" w14:textId="56AE58C1" w:rsidR="00186582" w:rsidRDefault="00454D43" w:rsidP="00571C11">
            <w:pPr>
              <w:pStyle w:val="Heading1"/>
              <w:shd w:val="clear" w:color="auto" w:fill="FCFCFC"/>
              <w:spacing w:before="24" w:beforeAutospacing="0" w:after="120" w:afterAutospacing="0" w:line="264" w:lineRule="atLeast"/>
              <w:rPr>
                <w:rFonts w:ascii="Cambria" w:hAnsi="Cambria"/>
                <w:b w:val="0"/>
                <w:bCs w:val="0"/>
                <w:color w:val="404040"/>
                <w:sz w:val="22"/>
                <w:szCs w:val="22"/>
              </w:rPr>
            </w:pPr>
            <w:hyperlink r:id="rId15" w:history="1">
              <w:r w:rsidR="00186582" w:rsidRPr="00186582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NCETM (CPD)</w:t>
              </w:r>
            </w:hyperlink>
          </w:p>
          <w:p w14:paraId="336B8C9C" w14:textId="77777777" w:rsidR="00342794" w:rsidRPr="00643955" w:rsidRDefault="00342794" w:rsidP="002E67A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</w:p>
          <w:p w14:paraId="02295E43" w14:textId="6D6DB07F" w:rsidR="00697A47" w:rsidRPr="00643955" w:rsidRDefault="00697A47" w:rsidP="009A63B8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A47" w:rsidRPr="00F07217" w14:paraId="75C24513" w14:textId="77777777" w:rsidTr="00E5340F">
        <w:trPr>
          <w:trHeight w:val="5084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B2F" w14:textId="77777777" w:rsidR="00186582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The importance of CPD beyond the PGCE. For example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 looking ahead to Early Career Teaching, MA and Doctoral study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C39A59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29E5D" w14:textId="77777777" w:rsidR="00186582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Reflective practice, supported by feedback from and observation of experienced colleagues, professional debate, and learning from educational research, is also likely to support improvement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722C08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FE502" w14:textId="77777777" w:rsidR="00186582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Effective professional development is likely to be sustained over time, involve expert support or coaching and opportunities for collaboration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D136C0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E1FFD" w14:textId="77777777" w:rsidR="00186582" w:rsidRPr="005A3F0F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Ongoing CPD is important for professional and personal development in teaching e.g.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63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NCETM and Mathematics Association.</w:t>
            </w:r>
          </w:p>
          <w:p w14:paraId="6D8E2E9C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488AE5" w14:textId="029F00B3" w:rsidR="00697A47" w:rsidRPr="002804D7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Progression on ITE should underpin their development 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Mathematics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 ECTS.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2B2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6FD58EE3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B0B645D" w14:textId="4D8D325B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3BD030D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67580A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2ABC0DBA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20A4CCD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3E7FD25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4B48D389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5AD3217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26880BE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77996299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4458CD6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08E6C1F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402A4463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FB6EB51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39F82FC" w14:textId="77777777" w:rsidR="002E67AF" w:rsidRDefault="002E67AF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2918C1E" w14:textId="77777777" w:rsidR="002E67AF" w:rsidRDefault="002E67AF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429FA82" w14:textId="5DB6E3D2" w:rsidR="002E67AF" w:rsidRDefault="002E67AF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AA3508E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ED8ED5A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0D85463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DFC2AC0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356C9F7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D3468D7" w14:textId="680A0926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6509C07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A1BFE4A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CEFE65B" w14:textId="1A2A68FA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528C673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DE8AFFF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D77737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34670EF1" w:rsidR="00697A47" w:rsidRPr="00523D39" w:rsidRDefault="00697A47" w:rsidP="00697A4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97A47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697A47" w:rsidRPr="00523D39" w:rsidRDefault="00697A47" w:rsidP="00697A4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697A47" w:rsidRPr="00523D39" w:rsidRDefault="00697A47" w:rsidP="0069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697A47" w:rsidRPr="00523D39" w:rsidRDefault="00697A47" w:rsidP="0069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A47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522" w14:textId="77777777" w:rsidR="00186582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Work with mentors to develop effective relationships and act on the coaching support.</w:t>
            </w:r>
          </w:p>
          <w:p w14:paraId="007D5482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FB9D2" w14:textId="77777777" w:rsidR="00186582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Know that planning should always be underpinned by up-to-date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mathematical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 scholarship or teaching becomes inaccurate and stale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2888C7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141747" w14:textId="77777777" w:rsidR="00186582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Set targets and identity next steps for career/ECT progression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CDE897" w14:textId="77777777" w:rsidR="00186582" w:rsidRPr="006F133A" w:rsidRDefault="00186582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7E904" w14:textId="3C60D4FA" w:rsidR="00697A47" w:rsidRPr="008D31FA" w:rsidRDefault="00186582" w:rsidP="00186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Reflect on your ongoing contribution to the effective working</w:t>
            </w:r>
            <w:r w:rsidRPr="00D763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 a Mathematics department. </w:t>
            </w:r>
            <w:r w:rsidRPr="005A3F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Use NCETM </w:t>
            </w:r>
            <w:r w:rsidRPr="005A3F0F">
              <w:rPr>
                <w:rFonts w:asciiTheme="minorHAnsi" w:hAnsiTheme="minorHAnsi" w:cstheme="minorHAnsi"/>
                <w:sz w:val="20"/>
                <w:szCs w:val="20"/>
              </w:rPr>
              <w:t>and materials to support further development.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E4A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</w:p>
          <w:p w14:paraId="7B863840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3940DE8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</w:p>
          <w:p w14:paraId="4594E1EF" w14:textId="77777777" w:rsidR="00697A47" w:rsidRDefault="00697A47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5825763" w14:textId="77777777" w:rsidR="002E67AF" w:rsidRDefault="002E67AF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1E64570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</w:p>
          <w:p w14:paraId="392A66F1" w14:textId="75D4FAB4" w:rsidR="002E67AF" w:rsidRDefault="002E67AF" w:rsidP="00901A6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8C6D6A8" w14:textId="77777777" w:rsidR="002E67AF" w:rsidRDefault="002E67AF" w:rsidP="002E67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A02B074" w14:textId="77777777" w:rsidR="00186582" w:rsidRDefault="00186582" w:rsidP="001865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</w:p>
          <w:p w14:paraId="58997E30" w14:textId="532618F3" w:rsidR="002E67AF" w:rsidRDefault="002E67AF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692A409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435E102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53A3AC" w14:textId="661F609A" w:rsidR="00697A47" w:rsidRDefault="00697A47" w:rsidP="00697A47">
            <w:pPr>
              <w:rPr>
                <w:rFonts w:ascii="Cambria" w:hAnsi="Cambria"/>
                <w:sz w:val="20"/>
                <w:szCs w:val="20"/>
              </w:rPr>
            </w:pPr>
          </w:p>
          <w:p w14:paraId="70C2E9AE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510AB5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805E38F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921EE9B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98BAF9F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CDB396" w14:textId="77777777" w:rsidR="00697A47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FF312F8" w14:textId="4904465F" w:rsidR="00697A47" w:rsidRPr="00C26EC1" w:rsidRDefault="00697A47" w:rsidP="00697A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97A47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CEC" w14:textId="77777777" w:rsidR="00186582" w:rsidRPr="00186582" w:rsidRDefault="00697A47" w:rsidP="00186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186582">
              <w:rPr>
                <w:rFonts w:ascii="Cambria" w:hAnsi="Cambria"/>
                <w:b/>
                <w:bCs/>
                <w:sz w:val="20"/>
                <w:szCs w:val="20"/>
              </w:rPr>
              <w:t xml:space="preserve">Q1: </w:t>
            </w:r>
            <w:r w:rsidR="00186582" w:rsidRPr="00186582">
              <w:rPr>
                <w:rFonts w:asciiTheme="minorHAnsi" w:hAnsiTheme="minorHAnsi" w:cstheme="minorHAnsi"/>
                <w:sz w:val="20"/>
                <w:szCs w:val="20"/>
              </w:rPr>
              <w:t>Outline how you have effectively worked with your mentor to develop a strong working relationship and act on the coaching support provided.</w:t>
            </w:r>
          </w:p>
          <w:p w14:paraId="534D3CDC" w14:textId="0F61B2DD" w:rsidR="00571C11" w:rsidRPr="00571C11" w:rsidRDefault="00571C11" w:rsidP="0057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4C279" w14:textId="55249C09" w:rsidR="00697A47" w:rsidRPr="00697A47" w:rsidRDefault="00697A47" w:rsidP="00697A47">
            <w:pP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1359D67" w14:textId="21057A25" w:rsidR="00697A47" w:rsidRPr="0057384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1DE585" w14:textId="77777777" w:rsidR="00697A47" w:rsidRPr="005259CE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FCBDA67" w14:textId="77777777" w:rsidR="00697A47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4077E4C2" w14:textId="77777777" w:rsidR="00697A47" w:rsidRPr="00523D3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2369B8A" w14:textId="77777777" w:rsidR="00697A47" w:rsidRPr="00523D3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8F460F" w14:textId="0E6766B1" w:rsidR="00697A47" w:rsidRPr="00697A47" w:rsidRDefault="00571C11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571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6582" w:rsidRPr="005A3F0F">
              <w:rPr>
                <w:rFonts w:asciiTheme="minorHAnsi" w:hAnsiTheme="minorHAnsi" w:cstheme="minorHAnsi"/>
                <w:sz w:val="20"/>
                <w:szCs w:val="20"/>
              </w:rPr>
              <w:t>How do you ensure that your planning and teaching is always informed by up-to-date scholarship, research and resources within your mathematics?</w:t>
            </w:r>
          </w:p>
          <w:p w14:paraId="4083FBBB" w14:textId="787F80D7" w:rsidR="00697A47" w:rsidRPr="0057384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AC9553" w14:textId="77777777" w:rsidR="00697A47" w:rsidRPr="00523D3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2BB80EE" w14:textId="77777777" w:rsidR="00697A47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382DBF13" w14:textId="77777777" w:rsidR="00697A47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8845CB2" w14:textId="77777777" w:rsidR="00697A47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E533A52" w14:textId="77777777" w:rsidR="00697A47" w:rsidRPr="00523D3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27192A8F" w:rsidR="00697A47" w:rsidRPr="00523D39" w:rsidRDefault="00697A47" w:rsidP="0069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697A47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43D" w14:textId="77777777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697A47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697A47" w:rsidRPr="00ED360A" w:rsidRDefault="00697A47" w:rsidP="00697A4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231E19D4" w:rsidR="00697A47" w:rsidRPr="00D9275F" w:rsidRDefault="00697A47" w:rsidP="0069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</w:tc>
      </w:tr>
      <w:tr w:rsidR="00697A47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41D651DB" w:rsidR="00697A47" w:rsidRPr="002073B3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</w:p>
        </w:tc>
      </w:tr>
      <w:tr w:rsidR="00697A47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07F9E625" w:rsidR="00697A47" w:rsidRPr="00D9275F" w:rsidRDefault="00697A47" w:rsidP="0069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</w:tc>
      </w:tr>
      <w:tr w:rsidR="00697A47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697A47" w:rsidRPr="00523D39" w:rsidRDefault="00697A47" w:rsidP="00697A47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560F08BD" w:rsidR="00697A47" w:rsidRPr="002073B3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</w:p>
        </w:tc>
      </w:tr>
      <w:tr w:rsidR="00697A47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697A47" w:rsidRPr="00523D39" w:rsidRDefault="00697A47" w:rsidP="00697A4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3855A4EA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Opportunity agrees for trainee to practise, observe, or receive feedback on this target</w:t>
            </w:r>
          </w:p>
        </w:tc>
      </w:tr>
      <w:tr w:rsidR="00697A47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5AA96A50" w:rsidR="00697A47" w:rsidRPr="00E5340F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E5340F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1. 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30606BA3" w:rsidR="00697A47" w:rsidRPr="00E5340F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697A47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374F8FD0" w:rsidR="00697A47" w:rsidRPr="000E21FD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 w:rsidRPr="000E21F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2. 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5BE86FDA" w:rsidR="00697A47" w:rsidRPr="000E21FD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97A47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697A47" w:rsidRPr="00523D39" w:rsidRDefault="00697A47" w:rsidP="00697A4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697A47" w:rsidRPr="00523D39" w:rsidRDefault="00697A47" w:rsidP="00697A4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97A47" w:rsidRPr="00F07217" w14:paraId="3CBB1465" w14:textId="77777777" w:rsidTr="00403E3F">
        <w:trPr>
          <w:trHeight w:val="413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697A47" w:rsidRPr="00F83C7A" w:rsidRDefault="00697A47" w:rsidP="00697A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002AFA84" w:rsidR="00697A47" w:rsidRPr="00F83C7A" w:rsidRDefault="00454D43" w:rsidP="00697A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A4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697A4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697A47" w:rsidRPr="00F83C7A" w:rsidRDefault="00454D43" w:rsidP="00697A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A47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97A4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697A4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697A4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697A47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697A47" w:rsidRPr="00F83C7A" w:rsidRDefault="00697A47" w:rsidP="00697A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697A47" w:rsidRPr="00F83C7A" w:rsidRDefault="00697A47" w:rsidP="00697A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697A47" w:rsidRPr="00F07217" w:rsidRDefault="00454D43" w:rsidP="00697A47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A47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97A4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curriculum. A Progress Support Plan should be considered.</w:t>
            </w:r>
            <w:r w:rsidR="00697A47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F17D3FD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502C80ED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B4A"/>
    <w:multiLevelType w:val="multilevel"/>
    <w:tmpl w:val="CF72D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97F23E"/>
    <w:multiLevelType w:val="hybridMultilevel"/>
    <w:tmpl w:val="B3CE7C96"/>
    <w:lvl w:ilvl="0" w:tplc="1E063C6E">
      <w:start w:val="1"/>
      <w:numFmt w:val="decimal"/>
      <w:lvlText w:val="%1."/>
      <w:lvlJc w:val="left"/>
      <w:pPr>
        <w:ind w:left="720" w:hanging="360"/>
      </w:pPr>
    </w:lvl>
    <w:lvl w:ilvl="1" w:tplc="D7988300">
      <w:start w:val="1"/>
      <w:numFmt w:val="lowerLetter"/>
      <w:lvlText w:val="%2."/>
      <w:lvlJc w:val="left"/>
      <w:pPr>
        <w:ind w:left="1440" w:hanging="360"/>
      </w:pPr>
    </w:lvl>
    <w:lvl w:ilvl="2" w:tplc="0AFCDF2C">
      <w:start w:val="1"/>
      <w:numFmt w:val="lowerRoman"/>
      <w:lvlText w:val="%3."/>
      <w:lvlJc w:val="right"/>
      <w:pPr>
        <w:ind w:left="2160" w:hanging="180"/>
      </w:pPr>
    </w:lvl>
    <w:lvl w:ilvl="3" w:tplc="4300D1F8">
      <w:start w:val="1"/>
      <w:numFmt w:val="decimal"/>
      <w:lvlText w:val="%4."/>
      <w:lvlJc w:val="left"/>
      <w:pPr>
        <w:ind w:left="2880" w:hanging="360"/>
      </w:pPr>
    </w:lvl>
    <w:lvl w:ilvl="4" w:tplc="9FC026F4">
      <w:start w:val="1"/>
      <w:numFmt w:val="lowerLetter"/>
      <w:lvlText w:val="%5."/>
      <w:lvlJc w:val="left"/>
      <w:pPr>
        <w:ind w:left="3600" w:hanging="360"/>
      </w:pPr>
    </w:lvl>
    <w:lvl w:ilvl="5" w:tplc="BF349F10">
      <w:start w:val="1"/>
      <w:numFmt w:val="lowerRoman"/>
      <w:lvlText w:val="%6."/>
      <w:lvlJc w:val="right"/>
      <w:pPr>
        <w:ind w:left="4320" w:hanging="180"/>
      </w:pPr>
    </w:lvl>
    <w:lvl w:ilvl="6" w:tplc="B52CE8FA">
      <w:start w:val="1"/>
      <w:numFmt w:val="decimal"/>
      <w:lvlText w:val="%7."/>
      <w:lvlJc w:val="left"/>
      <w:pPr>
        <w:ind w:left="5040" w:hanging="360"/>
      </w:pPr>
    </w:lvl>
    <w:lvl w:ilvl="7" w:tplc="54EC49CA">
      <w:start w:val="1"/>
      <w:numFmt w:val="lowerLetter"/>
      <w:lvlText w:val="%8."/>
      <w:lvlJc w:val="left"/>
      <w:pPr>
        <w:ind w:left="5760" w:hanging="360"/>
      </w:pPr>
    </w:lvl>
    <w:lvl w:ilvl="8" w:tplc="2D4E6C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3E09"/>
    <w:multiLevelType w:val="multilevel"/>
    <w:tmpl w:val="2A764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D26B25"/>
    <w:multiLevelType w:val="hybridMultilevel"/>
    <w:tmpl w:val="9342D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F64351"/>
    <w:multiLevelType w:val="hybridMultilevel"/>
    <w:tmpl w:val="847C09A0"/>
    <w:lvl w:ilvl="0" w:tplc="B368407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73BD"/>
    <w:multiLevelType w:val="multilevel"/>
    <w:tmpl w:val="D8A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F69D3"/>
    <w:multiLevelType w:val="multilevel"/>
    <w:tmpl w:val="2E76E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100D"/>
    <w:multiLevelType w:val="hybridMultilevel"/>
    <w:tmpl w:val="AECC3D5C"/>
    <w:lvl w:ilvl="0" w:tplc="65A6EF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68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C0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B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CB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6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A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4C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6D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708"/>
    <w:multiLevelType w:val="hybridMultilevel"/>
    <w:tmpl w:val="1A56C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6628B"/>
    <w:multiLevelType w:val="multilevel"/>
    <w:tmpl w:val="7EA88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53C0E1F"/>
    <w:multiLevelType w:val="multilevel"/>
    <w:tmpl w:val="DF1E14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87783C"/>
    <w:multiLevelType w:val="multilevel"/>
    <w:tmpl w:val="D0281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A82184"/>
    <w:multiLevelType w:val="hybridMultilevel"/>
    <w:tmpl w:val="19B2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358DF"/>
    <w:multiLevelType w:val="multilevel"/>
    <w:tmpl w:val="459E3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30039F"/>
    <w:multiLevelType w:val="multilevel"/>
    <w:tmpl w:val="7AC09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934A67"/>
    <w:multiLevelType w:val="hybridMultilevel"/>
    <w:tmpl w:val="B85AC6C8"/>
    <w:lvl w:ilvl="0" w:tplc="A3B28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E022C"/>
    <w:multiLevelType w:val="hybridMultilevel"/>
    <w:tmpl w:val="91DE9B7A"/>
    <w:lvl w:ilvl="0" w:tplc="33A82898">
      <w:start w:val="1"/>
      <w:numFmt w:val="decimal"/>
      <w:lvlText w:val="%1."/>
      <w:lvlJc w:val="left"/>
      <w:pPr>
        <w:ind w:left="720" w:hanging="360"/>
      </w:pPr>
    </w:lvl>
    <w:lvl w:ilvl="1" w:tplc="A874FF5C">
      <w:start w:val="1"/>
      <w:numFmt w:val="lowerLetter"/>
      <w:lvlText w:val="%2."/>
      <w:lvlJc w:val="left"/>
      <w:pPr>
        <w:ind w:left="1440" w:hanging="360"/>
      </w:pPr>
    </w:lvl>
    <w:lvl w:ilvl="2" w:tplc="F2DA3002">
      <w:start w:val="1"/>
      <w:numFmt w:val="lowerRoman"/>
      <w:lvlText w:val="%3."/>
      <w:lvlJc w:val="right"/>
      <w:pPr>
        <w:ind w:left="2160" w:hanging="180"/>
      </w:pPr>
    </w:lvl>
    <w:lvl w:ilvl="3" w:tplc="2F5C34BA">
      <w:start w:val="1"/>
      <w:numFmt w:val="decimal"/>
      <w:lvlText w:val="%4."/>
      <w:lvlJc w:val="left"/>
      <w:pPr>
        <w:ind w:left="2880" w:hanging="360"/>
      </w:pPr>
    </w:lvl>
    <w:lvl w:ilvl="4" w:tplc="131ED624">
      <w:start w:val="1"/>
      <w:numFmt w:val="lowerLetter"/>
      <w:lvlText w:val="%5."/>
      <w:lvlJc w:val="left"/>
      <w:pPr>
        <w:ind w:left="3600" w:hanging="360"/>
      </w:pPr>
    </w:lvl>
    <w:lvl w:ilvl="5" w:tplc="A4FCD4A2">
      <w:start w:val="1"/>
      <w:numFmt w:val="lowerRoman"/>
      <w:lvlText w:val="%6."/>
      <w:lvlJc w:val="right"/>
      <w:pPr>
        <w:ind w:left="4320" w:hanging="180"/>
      </w:pPr>
    </w:lvl>
    <w:lvl w:ilvl="6" w:tplc="021EAD6C">
      <w:start w:val="1"/>
      <w:numFmt w:val="decimal"/>
      <w:lvlText w:val="%7."/>
      <w:lvlJc w:val="left"/>
      <w:pPr>
        <w:ind w:left="5040" w:hanging="360"/>
      </w:pPr>
    </w:lvl>
    <w:lvl w:ilvl="7" w:tplc="ADCC2002">
      <w:start w:val="1"/>
      <w:numFmt w:val="lowerLetter"/>
      <w:lvlText w:val="%8."/>
      <w:lvlJc w:val="left"/>
      <w:pPr>
        <w:ind w:left="5760" w:hanging="360"/>
      </w:pPr>
    </w:lvl>
    <w:lvl w:ilvl="8" w:tplc="6842307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E9E5"/>
    <w:multiLevelType w:val="hybridMultilevel"/>
    <w:tmpl w:val="BB82EAA4"/>
    <w:lvl w:ilvl="0" w:tplc="47887850">
      <w:start w:val="1"/>
      <w:numFmt w:val="decimal"/>
      <w:lvlText w:val="%1."/>
      <w:lvlJc w:val="left"/>
      <w:pPr>
        <w:ind w:left="720" w:hanging="360"/>
      </w:pPr>
    </w:lvl>
    <w:lvl w:ilvl="1" w:tplc="24D46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A0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06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C5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8F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EB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E0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05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F6DC5"/>
    <w:multiLevelType w:val="hybridMultilevel"/>
    <w:tmpl w:val="02608004"/>
    <w:lvl w:ilvl="0" w:tplc="7C24E0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B4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AF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A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EA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CE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CC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E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F4ABF"/>
    <w:multiLevelType w:val="multilevel"/>
    <w:tmpl w:val="A648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FA2BC9"/>
    <w:multiLevelType w:val="multilevel"/>
    <w:tmpl w:val="0E1CA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CA0ACB"/>
    <w:multiLevelType w:val="multilevel"/>
    <w:tmpl w:val="8F400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57E6A"/>
    <w:multiLevelType w:val="multilevel"/>
    <w:tmpl w:val="DCCCF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4D3E06"/>
    <w:multiLevelType w:val="multilevel"/>
    <w:tmpl w:val="3E0E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57B7C"/>
    <w:multiLevelType w:val="multilevel"/>
    <w:tmpl w:val="2E76E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A1666"/>
    <w:multiLevelType w:val="hybridMultilevel"/>
    <w:tmpl w:val="EAC4F5E2"/>
    <w:lvl w:ilvl="0" w:tplc="9DDC7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711EAD"/>
    <w:multiLevelType w:val="multilevel"/>
    <w:tmpl w:val="3606E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B1A349"/>
    <w:multiLevelType w:val="hybridMultilevel"/>
    <w:tmpl w:val="7EB2F4B6"/>
    <w:lvl w:ilvl="0" w:tplc="74C67422">
      <w:start w:val="1"/>
      <w:numFmt w:val="decimal"/>
      <w:lvlText w:val="%1."/>
      <w:lvlJc w:val="left"/>
      <w:pPr>
        <w:ind w:left="720" w:hanging="360"/>
      </w:pPr>
    </w:lvl>
    <w:lvl w:ilvl="1" w:tplc="BA7CC024">
      <w:start w:val="1"/>
      <w:numFmt w:val="lowerLetter"/>
      <w:lvlText w:val="%2."/>
      <w:lvlJc w:val="left"/>
      <w:pPr>
        <w:ind w:left="1440" w:hanging="360"/>
      </w:pPr>
    </w:lvl>
    <w:lvl w:ilvl="2" w:tplc="AE58F4B2">
      <w:start w:val="1"/>
      <w:numFmt w:val="lowerRoman"/>
      <w:lvlText w:val="%3."/>
      <w:lvlJc w:val="right"/>
      <w:pPr>
        <w:ind w:left="2160" w:hanging="180"/>
      </w:pPr>
    </w:lvl>
    <w:lvl w:ilvl="3" w:tplc="FBACA1E2">
      <w:start w:val="1"/>
      <w:numFmt w:val="decimal"/>
      <w:lvlText w:val="%4."/>
      <w:lvlJc w:val="left"/>
      <w:pPr>
        <w:ind w:left="2880" w:hanging="360"/>
      </w:pPr>
    </w:lvl>
    <w:lvl w:ilvl="4" w:tplc="E06C5030">
      <w:start w:val="1"/>
      <w:numFmt w:val="lowerLetter"/>
      <w:lvlText w:val="%5."/>
      <w:lvlJc w:val="left"/>
      <w:pPr>
        <w:ind w:left="3600" w:hanging="360"/>
      </w:pPr>
    </w:lvl>
    <w:lvl w:ilvl="5" w:tplc="95FA15F4">
      <w:start w:val="1"/>
      <w:numFmt w:val="lowerRoman"/>
      <w:lvlText w:val="%6."/>
      <w:lvlJc w:val="right"/>
      <w:pPr>
        <w:ind w:left="4320" w:hanging="180"/>
      </w:pPr>
    </w:lvl>
    <w:lvl w:ilvl="6" w:tplc="8F3A0DC8">
      <w:start w:val="1"/>
      <w:numFmt w:val="decimal"/>
      <w:lvlText w:val="%7."/>
      <w:lvlJc w:val="left"/>
      <w:pPr>
        <w:ind w:left="5040" w:hanging="360"/>
      </w:pPr>
    </w:lvl>
    <w:lvl w:ilvl="7" w:tplc="3620B6BA">
      <w:start w:val="1"/>
      <w:numFmt w:val="lowerLetter"/>
      <w:lvlText w:val="%8."/>
      <w:lvlJc w:val="left"/>
      <w:pPr>
        <w:ind w:left="5760" w:hanging="360"/>
      </w:pPr>
    </w:lvl>
    <w:lvl w:ilvl="8" w:tplc="8AD8258C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23"/>
  </w:num>
  <w:num w:numId="2" w16cid:durableId="745959156">
    <w:abstractNumId w:val="14"/>
  </w:num>
  <w:num w:numId="3" w16cid:durableId="365060952">
    <w:abstractNumId w:val="6"/>
  </w:num>
  <w:num w:numId="4" w16cid:durableId="970749666">
    <w:abstractNumId w:val="2"/>
  </w:num>
  <w:num w:numId="5" w16cid:durableId="375013857">
    <w:abstractNumId w:val="26"/>
  </w:num>
  <w:num w:numId="6" w16cid:durableId="995718178">
    <w:abstractNumId w:val="32"/>
  </w:num>
  <w:num w:numId="7" w16cid:durableId="208495139">
    <w:abstractNumId w:val="22"/>
  </w:num>
  <w:num w:numId="8" w16cid:durableId="681662471">
    <w:abstractNumId w:val="25"/>
  </w:num>
  <w:num w:numId="9" w16cid:durableId="769281397">
    <w:abstractNumId w:val="16"/>
  </w:num>
  <w:num w:numId="10" w16cid:durableId="1403983886">
    <w:abstractNumId w:val="31"/>
  </w:num>
  <w:num w:numId="11" w16cid:durableId="1087381121">
    <w:abstractNumId w:val="4"/>
  </w:num>
  <w:num w:numId="12" w16cid:durableId="1769812083">
    <w:abstractNumId w:val="21"/>
  </w:num>
  <w:num w:numId="13" w16cid:durableId="613753127">
    <w:abstractNumId w:val="9"/>
  </w:num>
  <w:num w:numId="14" w16cid:durableId="352994560">
    <w:abstractNumId w:val="19"/>
  </w:num>
  <w:num w:numId="15" w16cid:durableId="1880819222">
    <w:abstractNumId w:val="10"/>
  </w:num>
  <w:num w:numId="16" w16cid:durableId="39091251">
    <w:abstractNumId w:val="0"/>
  </w:num>
  <w:num w:numId="17" w16cid:durableId="1310205672">
    <w:abstractNumId w:val="13"/>
  </w:num>
  <w:num w:numId="18" w16cid:durableId="1397431522">
    <w:abstractNumId w:val="28"/>
  </w:num>
  <w:num w:numId="19" w16cid:durableId="784468033">
    <w:abstractNumId w:val="18"/>
  </w:num>
  <w:num w:numId="20" w16cid:durableId="466633325">
    <w:abstractNumId w:val="3"/>
  </w:num>
  <w:num w:numId="21" w16cid:durableId="1042249796">
    <w:abstractNumId w:val="17"/>
  </w:num>
  <w:num w:numId="22" w16cid:durableId="734204572">
    <w:abstractNumId w:val="7"/>
  </w:num>
  <w:num w:numId="23" w16cid:durableId="1823154671">
    <w:abstractNumId w:val="5"/>
  </w:num>
  <w:num w:numId="24" w16cid:durableId="169375078">
    <w:abstractNumId w:val="24"/>
  </w:num>
  <w:num w:numId="25" w16cid:durableId="239951066">
    <w:abstractNumId w:val="20"/>
  </w:num>
  <w:num w:numId="26" w16cid:durableId="1383287870">
    <w:abstractNumId w:val="11"/>
  </w:num>
  <w:num w:numId="27" w16cid:durableId="1027367486">
    <w:abstractNumId w:val="29"/>
  </w:num>
  <w:num w:numId="28" w16cid:durableId="1660423564">
    <w:abstractNumId w:val="27"/>
  </w:num>
  <w:num w:numId="29" w16cid:durableId="2064715785">
    <w:abstractNumId w:val="1"/>
  </w:num>
  <w:num w:numId="30" w16cid:durableId="1182936319">
    <w:abstractNumId w:val="15"/>
  </w:num>
  <w:num w:numId="31" w16cid:durableId="453865667">
    <w:abstractNumId w:val="30"/>
  </w:num>
  <w:num w:numId="32" w16cid:durableId="584345850">
    <w:abstractNumId w:val="12"/>
  </w:num>
  <w:num w:numId="33" w16cid:durableId="8506849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26F38"/>
    <w:rsid w:val="000467DF"/>
    <w:rsid w:val="000A4500"/>
    <w:rsid w:val="000C0420"/>
    <w:rsid w:val="000D2747"/>
    <w:rsid w:val="000D5631"/>
    <w:rsid w:val="000D6922"/>
    <w:rsid w:val="000E21FD"/>
    <w:rsid w:val="000F7F57"/>
    <w:rsid w:val="00106BEE"/>
    <w:rsid w:val="00111268"/>
    <w:rsid w:val="00132F3C"/>
    <w:rsid w:val="001436B1"/>
    <w:rsid w:val="001506CA"/>
    <w:rsid w:val="00164C19"/>
    <w:rsid w:val="00166757"/>
    <w:rsid w:val="00182A86"/>
    <w:rsid w:val="00186582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36E91"/>
    <w:rsid w:val="002402B7"/>
    <w:rsid w:val="00244BD5"/>
    <w:rsid w:val="00257C5E"/>
    <w:rsid w:val="00267F20"/>
    <w:rsid w:val="00275428"/>
    <w:rsid w:val="00275519"/>
    <w:rsid w:val="002804D7"/>
    <w:rsid w:val="00284E41"/>
    <w:rsid w:val="002945B0"/>
    <w:rsid w:val="002D6840"/>
    <w:rsid w:val="002D71BC"/>
    <w:rsid w:val="002E67AF"/>
    <w:rsid w:val="002F0646"/>
    <w:rsid w:val="003324D5"/>
    <w:rsid w:val="00341E44"/>
    <w:rsid w:val="0034279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272A6"/>
    <w:rsid w:val="00446426"/>
    <w:rsid w:val="00454D43"/>
    <w:rsid w:val="00464034"/>
    <w:rsid w:val="00470596"/>
    <w:rsid w:val="00485777"/>
    <w:rsid w:val="004933A3"/>
    <w:rsid w:val="004A0E13"/>
    <w:rsid w:val="004C3CDB"/>
    <w:rsid w:val="004C7EBC"/>
    <w:rsid w:val="004F5A59"/>
    <w:rsid w:val="005031C0"/>
    <w:rsid w:val="005061DF"/>
    <w:rsid w:val="005113AE"/>
    <w:rsid w:val="005120DA"/>
    <w:rsid w:val="00523D39"/>
    <w:rsid w:val="005259CE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1C11"/>
    <w:rsid w:val="005728D3"/>
    <w:rsid w:val="00573849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3955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97A47"/>
    <w:rsid w:val="006A2DCB"/>
    <w:rsid w:val="006A777B"/>
    <w:rsid w:val="006B15D7"/>
    <w:rsid w:val="006B3909"/>
    <w:rsid w:val="006C0609"/>
    <w:rsid w:val="006C1B86"/>
    <w:rsid w:val="006D52FD"/>
    <w:rsid w:val="006E789E"/>
    <w:rsid w:val="00702B9D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4E1E"/>
    <w:rsid w:val="007C66A6"/>
    <w:rsid w:val="007D2AA4"/>
    <w:rsid w:val="007E2240"/>
    <w:rsid w:val="007E2C7B"/>
    <w:rsid w:val="00800444"/>
    <w:rsid w:val="008151B0"/>
    <w:rsid w:val="008235B7"/>
    <w:rsid w:val="00852605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26CC"/>
    <w:rsid w:val="008C5CA6"/>
    <w:rsid w:val="008C6ED4"/>
    <w:rsid w:val="008D261C"/>
    <w:rsid w:val="008D31FA"/>
    <w:rsid w:val="008D6C75"/>
    <w:rsid w:val="008E15AD"/>
    <w:rsid w:val="008E4B82"/>
    <w:rsid w:val="00901A6E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71A1E"/>
    <w:rsid w:val="009A63B8"/>
    <w:rsid w:val="009B3121"/>
    <w:rsid w:val="009B6144"/>
    <w:rsid w:val="009B62A5"/>
    <w:rsid w:val="009C79B8"/>
    <w:rsid w:val="009D30D2"/>
    <w:rsid w:val="009E4101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27D1"/>
    <w:rsid w:val="00AE47A3"/>
    <w:rsid w:val="00AE5D12"/>
    <w:rsid w:val="00B109B2"/>
    <w:rsid w:val="00B5000E"/>
    <w:rsid w:val="00B71FAE"/>
    <w:rsid w:val="00B75F73"/>
    <w:rsid w:val="00B8188E"/>
    <w:rsid w:val="00BA06A2"/>
    <w:rsid w:val="00BA12BC"/>
    <w:rsid w:val="00BA3E39"/>
    <w:rsid w:val="00BB0205"/>
    <w:rsid w:val="00BC2D67"/>
    <w:rsid w:val="00BE47F7"/>
    <w:rsid w:val="00BF017F"/>
    <w:rsid w:val="00BF1357"/>
    <w:rsid w:val="00BF6FA3"/>
    <w:rsid w:val="00C15D55"/>
    <w:rsid w:val="00C26EC1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17CFC"/>
    <w:rsid w:val="00D21504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0D06"/>
    <w:rsid w:val="00DD5A4F"/>
    <w:rsid w:val="00DF760B"/>
    <w:rsid w:val="00E22452"/>
    <w:rsid w:val="00E27B26"/>
    <w:rsid w:val="00E457EF"/>
    <w:rsid w:val="00E45891"/>
    <w:rsid w:val="00E5003C"/>
    <w:rsid w:val="00E5340F"/>
    <w:rsid w:val="00E53DAA"/>
    <w:rsid w:val="00E629FF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0FFC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F6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  <w:style w:type="character" w:customStyle="1" w:styleId="Heading1Char">
    <w:name w:val="Heading 1 Char"/>
    <w:basedOn w:val="DefaultParagraphFont"/>
    <w:link w:val="Heading1"/>
    <w:uiPriority w:val="9"/>
    <w:rsid w:val="00F60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"/>
    <w:rsid w:val="0034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ink.springer.com/article/10.1007/s10648-017-9416-4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cetm.org.uk/professional-developmen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mbridgemaths.org/for-teachers-and-practitioners/espresso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5B2D73-402E-4D01-98D9-68786056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Martin Pickett</cp:lastModifiedBy>
  <cp:revision>29</cp:revision>
  <cp:lastPrinted>2023-05-18T14:08:00Z</cp:lastPrinted>
  <dcterms:created xsi:type="dcterms:W3CDTF">2023-10-05T10:42:00Z</dcterms:created>
  <dcterms:modified xsi:type="dcterms:W3CDTF">2024-05-02T07:32:00Z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