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1" w:type="dxa"/>
        <w:tblInd w:w="-436" w:type="dxa"/>
        <w:tblCellMar>
          <w:top w:w="145" w:type="dxa"/>
          <w:left w:w="98" w:type="dxa"/>
          <w:right w:w="68" w:type="dxa"/>
        </w:tblCellMar>
        <w:tblLook w:val="04A0" w:firstRow="1" w:lastRow="0" w:firstColumn="1" w:lastColumn="0" w:noHBand="0" w:noVBand="1"/>
      </w:tblPr>
      <w:tblGrid>
        <w:gridCol w:w="1790"/>
        <w:gridCol w:w="905"/>
        <w:gridCol w:w="1687"/>
        <w:gridCol w:w="1133"/>
        <w:gridCol w:w="557"/>
        <w:gridCol w:w="516"/>
        <w:gridCol w:w="1203"/>
        <w:gridCol w:w="575"/>
        <w:gridCol w:w="1124"/>
        <w:gridCol w:w="1192"/>
        <w:gridCol w:w="142"/>
        <w:gridCol w:w="657"/>
      </w:tblGrid>
      <w:tr w:rsidR="00BB0205" w:rsidRPr="00F07217" w14:paraId="31D4C3CB" w14:textId="77777777" w:rsidTr="523DFA04">
        <w:trPr>
          <w:trHeight w:val="680"/>
        </w:trPr>
        <w:tc>
          <w:tcPr>
            <w:tcW w:w="11481" w:type="dxa"/>
            <w:gridSpan w:val="12"/>
            <w:tcBorders>
              <w:top w:val="single" w:sz="4" w:space="0" w:color="auto"/>
              <w:left w:val="single" w:sz="4" w:space="0" w:color="auto"/>
              <w:bottom w:val="single" w:sz="4" w:space="0" w:color="auto"/>
              <w:right w:val="single" w:sz="4" w:space="0" w:color="auto"/>
            </w:tcBorders>
            <w:shd w:val="clear" w:color="auto" w:fill="7030A0"/>
          </w:tcPr>
          <w:p w14:paraId="02022685" w14:textId="77777777" w:rsidR="00B56665" w:rsidRDefault="00BB0205" w:rsidP="00B56665">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w:t>
            </w:r>
          </w:p>
          <w:p w14:paraId="2E8EA821" w14:textId="42B4B121" w:rsidR="006102D0" w:rsidRPr="00B56665" w:rsidRDefault="00BB0205" w:rsidP="2A634077">
            <w:pPr>
              <w:jc w:val="center"/>
              <w:rPr>
                <w:rFonts w:ascii="Cambria" w:eastAsia="Georgia" w:hAnsi="Cambria" w:cs="Georgia"/>
                <w:b/>
                <w:bCs/>
                <w:color w:val="FFFFFF" w:themeColor="background1"/>
                <w:sz w:val="20"/>
                <w:szCs w:val="20"/>
              </w:rPr>
            </w:pPr>
            <w:r w:rsidRPr="523DFA04">
              <w:rPr>
                <w:rFonts w:ascii="Cambria" w:eastAsia="Georgia" w:hAnsi="Cambria" w:cs="Georgia"/>
                <w:b/>
                <w:bCs/>
                <w:color w:val="FFFFFF" w:themeColor="background1"/>
                <w:sz w:val="20"/>
                <w:szCs w:val="20"/>
              </w:rPr>
              <w:t xml:space="preserve"> Department of Secondary and Further Education</w:t>
            </w:r>
            <w:r w:rsidR="00966A4C" w:rsidRPr="523DFA04">
              <w:rPr>
                <w:rFonts w:ascii="Cambria" w:eastAsia="Georgia" w:hAnsi="Cambria" w:cs="Georgia"/>
                <w:b/>
                <w:bCs/>
                <w:color w:val="FFFFFF" w:themeColor="background1"/>
                <w:sz w:val="20"/>
                <w:szCs w:val="20"/>
              </w:rPr>
              <w:t xml:space="preserve"> (AY 2</w:t>
            </w:r>
            <w:r w:rsidR="002D71BC" w:rsidRPr="523DFA04">
              <w:rPr>
                <w:rFonts w:ascii="Cambria" w:eastAsia="Georgia" w:hAnsi="Cambria" w:cs="Georgia"/>
                <w:b/>
                <w:bCs/>
                <w:color w:val="FFFFFF" w:themeColor="background1"/>
                <w:sz w:val="20"/>
                <w:szCs w:val="20"/>
              </w:rPr>
              <w:t>3</w:t>
            </w:r>
            <w:r w:rsidR="00966A4C" w:rsidRPr="523DFA04">
              <w:rPr>
                <w:rFonts w:ascii="Cambria" w:eastAsia="Georgia" w:hAnsi="Cambria" w:cs="Georgia"/>
                <w:b/>
                <w:bCs/>
                <w:color w:val="FFFFFF" w:themeColor="background1"/>
                <w:sz w:val="20"/>
                <w:szCs w:val="20"/>
              </w:rPr>
              <w:t>/2</w:t>
            </w:r>
            <w:r w:rsidR="002D71BC" w:rsidRPr="523DFA04">
              <w:rPr>
                <w:rFonts w:ascii="Cambria" w:eastAsia="Georgia" w:hAnsi="Cambria" w:cs="Georgia"/>
                <w:b/>
                <w:bCs/>
                <w:color w:val="FFFFFF" w:themeColor="background1"/>
                <w:sz w:val="20"/>
                <w:szCs w:val="20"/>
              </w:rPr>
              <w:t>4</w:t>
            </w:r>
            <w:r w:rsidR="00966A4C" w:rsidRPr="523DFA04">
              <w:rPr>
                <w:rFonts w:ascii="Cambria" w:eastAsia="Georgia" w:hAnsi="Cambria" w:cs="Georgia"/>
                <w:b/>
                <w:bCs/>
                <w:color w:val="FFFFFF" w:themeColor="background1"/>
                <w:sz w:val="20"/>
                <w:szCs w:val="20"/>
              </w:rPr>
              <w:t>)</w:t>
            </w:r>
            <w:r w:rsidR="00B56665" w:rsidRPr="523DFA04">
              <w:rPr>
                <w:rFonts w:ascii="Cambria" w:eastAsia="Georgia" w:hAnsi="Cambria" w:cs="Georgia"/>
                <w:b/>
                <w:bCs/>
                <w:color w:val="FFFFFF" w:themeColor="background1"/>
                <w:sz w:val="20"/>
                <w:szCs w:val="20"/>
              </w:rPr>
              <w:t xml:space="preserve"> </w:t>
            </w:r>
            <w:r w:rsidR="006102D0" w:rsidRPr="523DFA04">
              <w:rPr>
                <w:rFonts w:ascii="Cambria" w:eastAsia="Georgia" w:hAnsi="Cambria" w:cs="Georgia"/>
                <w:b/>
                <w:bCs/>
                <w:color w:val="FFFFFF" w:themeColor="background1"/>
                <w:sz w:val="20"/>
                <w:szCs w:val="20"/>
              </w:rPr>
              <w:t xml:space="preserve">Week </w:t>
            </w:r>
            <w:r w:rsidR="0CF548B0" w:rsidRPr="523DFA04">
              <w:rPr>
                <w:rFonts w:ascii="Cambria" w:eastAsia="Georgia" w:hAnsi="Cambria" w:cs="Georgia"/>
                <w:b/>
                <w:bCs/>
                <w:color w:val="FFFFFF" w:themeColor="background1"/>
                <w:sz w:val="20"/>
                <w:szCs w:val="20"/>
              </w:rPr>
              <w:t>3</w:t>
            </w:r>
            <w:r w:rsidR="00613F1E">
              <w:rPr>
                <w:rFonts w:ascii="Cambria" w:eastAsia="Georgia" w:hAnsi="Cambria" w:cs="Georgia"/>
                <w:b/>
                <w:bCs/>
                <w:color w:val="FFFFFF" w:themeColor="background1"/>
                <w:sz w:val="20"/>
                <w:szCs w:val="20"/>
              </w:rPr>
              <w:t>6</w:t>
            </w:r>
          </w:p>
        </w:tc>
      </w:tr>
      <w:tr w:rsidR="00E65DEB" w:rsidRPr="00F07217" w14:paraId="691F8551" w14:textId="77777777" w:rsidTr="523DFA04">
        <w:trPr>
          <w:trHeight w:val="650"/>
        </w:trPr>
        <w:tc>
          <w:tcPr>
            <w:tcW w:w="11481"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378942E4"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6665">
              <w:rPr>
                <w:rFonts w:ascii="Cambria" w:hAnsi="Cambria"/>
                <w:b/>
                <w:bCs/>
                <w:sz w:val="20"/>
                <w:szCs w:val="20"/>
              </w:rPr>
              <w:t>RE PGCE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523DFA04">
        <w:trPr>
          <w:trHeight w:val="126"/>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523DFA04">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4A3B6C77" w:rsidR="004009A7" w:rsidRPr="00523D39" w:rsidRDefault="79953295" w:rsidP="523DFA04">
            <w:pPr>
              <w:spacing w:line="259" w:lineRule="auto"/>
              <w:jc w:val="both"/>
            </w:pPr>
            <w:r w:rsidRPr="523DFA04">
              <w:rPr>
                <w:rFonts w:ascii="Cambria" w:hAnsi="Cambria"/>
                <w:b/>
                <w:bCs/>
                <w:sz w:val="20"/>
                <w:szCs w:val="20"/>
              </w:rPr>
              <w:t>Consolidation (A)</w:t>
            </w:r>
          </w:p>
        </w:tc>
      </w:tr>
      <w:tr w:rsidR="004009A7" w:rsidRPr="00F07217" w14:paraId="4FBA03EC" w14:textId="77777777" w:rsidTr="523DFA04">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4EAA3E1C" w:rsidR="004009A7" w:rsidRPr="00523D39" w:rsidRDefault="00B56665">
            <w:pPr>
              <w:jc w:val="both"/>
              <w:rPr>
                <w:rFonts w:ascii="Cambria" w:hAnsi="Cambria"/>
                <w:b/>
                <w:bCs/>
                <w:sz w:val="20"/>
                <w:szCs w:val="20"/>
              </w:rPr>
            </w:pPr>
            <w:r>
              <w:rPr>
                <w:rFonts w:ascii="Cambria" w:hAnsi="Cambria"/>
                <w:b/>
                <w:bCs/>
                <w:sz w:val="20"/>
                <w:szCs w:val="20"/>
              </w:rPr>
              <w:t>Heather Marshall</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523DFA04">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036EDF8D" w:rsidR="004009A7" w:rsidRPr="00523D39" w:rsidRDefault="00B56665">
            <w:pPr>
              <w:jc w:val="both"/>
              <w:rPr>
                <w:rFonts w:ascii="Cambria" w:hAnsi="Cambria"/>
                <w:b/>
                <w:bCs/>
                <w:sz w:val="20"/>
                <w:szCs w:val="20"/>
              </w:rPr>
            </w:pPr>
            <w:r>
              <w:rPr>
                <w:rFonts w:ascii="Cambria" w:hAnsi="Cambria"/>
                <w:b/>
                <w:bCs/>
                <w:sz w:val="20"/>
                <w:szCs w:val="20"/>
              </w:rPr>
              <w:t>RE PGCE</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3767C725" w:rsidR="004009A7" w:rsidRPr="00523D39" w:rsidRDefault="00613F1E">
            <w:pPr>
              <w:jc w:val="both"/>
              <w:rPr>
                <w:rFonts w:ascii="Cambria" w:hAnsi="Cambria"/>
                <w:b/>
                <w:bCs/>
                <w:sz w:val="20"/>
                <w:szCs w:val="20"/>
              </w:rPr>
            </w:pPr>
            <w:r>
              <w:rPr>
                <w:rFonts w:ascii="Cambria" w:hAnsi="Cambria"/>
                <w:b/>
                <w:bCs/>
                <w:sz w:val="20"/>
                <w:szCs w:val="20"/>
              </w:rPr>
              <w:t>29</w:t>
            </w:r>
            <w:r w:rsidR="7D650DFE" w:rsidRPr="523DFA04">
              <w:rPr>
                <w:rFonts w:ascii="Cambria" w:hAnsi="Cambria"/>
                <w:b/>
                <w:bCs/>
                <w:sz w:val="20"/>
                <w:szCs w:val="20"/>
              </w:rPr>
              <w:t>/</w:t>
            </w:r>
            <w:r w:rsidR="775543F0" w:rsidRPr="523DFA04">
              <w:rPr>
                <w:rFonts w:ascii="Cambria" w:hAnsi="Cambria"/>
                <w:b/>
                <w:bCs/>
                <w:sz w:val="20"/>
                <w:szCs w:val="20"/>
              </w:rPr>
              <w:t>0</w:t>
            </w:r>
            <w:r w:rsidR="463E5964" w:rsidRPr="523DFA04">
              <w:rPr>
                <w:rFonts w:ascii="Cambria" w:hAnsi="Cambria"/>
                <w:b/>
                <w:bCs/>
                <w:sz w:val="20"/>
                <w:szCs w:val="20"/>
              </w:rPr>
              <w:t>4</w:t>
            </w:r>
            <w:r w:rsidR="5ABA93A9" w:rsidRPr="523DFA04">
              <w:rPr>
                <w:rFonts w:ascii="Cambria" w:hAnsi="Cambria"/>
                <w:b/>
                <w:bCs/>
                <w:sz w:val="20"/>
                <w:szCs w:val="20"/>
              </w:rPr>
              <w:t>/202</w:t>
            </w:r>
            <w:r w:rsidR="28D22E12" w:rsidRPr="523DFA04">
              <w:rPr>
                <w:rFonts w:ascii="Cambria" w:hAnsi="Cambria"/>
                <w:b/>
                <w:bCs/>
                <w:sz w:val="20"/>
                <w:szCs w:val="20"/>
              </w:rPr>
              <w:t>4</w:t>
            </w:r>
          </w:p>
        </w:tc>
      </w:tr>
      <w:tr w:rsidR="001506CA" w:rsidRPr="00F07217" w14:paraId="25B9C3C9" w14:textId="77777777" w:rsidTr="523DFA04">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63B9B6B1">
            <w:pPr>
              <w:jc w:val="center"/>
              <w:rPr>
                <w:rFonts w:ascii="Cambria" w:hAnsi="Cambria"/>
                <w:b/>
                <w:bCs/>
                <w:sz w:val="20"/>
                <w:szCs w:val="20"/>
                <w:highlight w:val="yellow"/>
              </w:rPr>
            </w:pPr>
            <w:r w:rsidRPr="63B9B6B1">
              <w:rPr>
                <w:rFonts w:ascii="Cambria" w:hAnsi="Cambria"/>
                <w:b/>
                <w:bCs/>
                <w:sz w:val="20"/>
                <w:szCs w:val="20"/>
                <w:highlight w:val="yellow"/>
              </w:rPr>
              <w:t>M</w:t>
            </w:r>
            <w:r w:rsidR="005113AE" w:rsidRPr="63B9B6B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63B9B6B1">
            <w:pPr>
              <w:jc w:val="center"/>
              <w:rPr>
                <w:rFonts w:ascii="Cambria" w:hAnsi="Cambria"/>
                <w:b/>
                <w:bCs/>
                <w:sz w:val="20"/>
                <w:szCs w:val="20"/>
                <w:highlight w:val="yellow"/>
              </w:rPr>
            </w:pPr>
            <w:r w:rsidRPr="63B9B6B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63B9B6B1">
            <w:pPr>
              <w:jc w:val="center"/>
              <w:rPr>
                <w:rFonts w:ascii="Cambria" w:hAnsi="Cambria"/>
                <w:b/>
                <w:bCs/>
                <w:sz w:val="20"/>
                <w:szCs w:val="20"/>
                <w:highlight w:val="yellow"/>
              </w:rPr>
            </w:pPr>
            <w:r w:rsidRPr="63B9B6B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63B9B6B1">
            <w:pPr>
              <w:jc w:val="center"/>
              <w:rPr>
                <w:rFonts w:ascii="Cambria" w:hAnsi="Cambria"/>
                <w:b/>
                <w:bCs/>
                <w:sz w:val="20"/>
                <w:szCs w:val="20"/>
                <w:highlight w:val="yellow"/>
              </w:rPr>
            </w:pPr>
            <w:r w:rsidRPr="63B9B6B1">
              <w:rPr>
                <w:rFonts w:ascii="Cambria" w:hAnsi="Cambria"/>
                <w:b/>
                <w:bCs/>
                <w:sz w:val="20"/>
                <w:szCs w:val="20"/>
                <w:highlight w:val="yellow"/>
              </w:rPr>
              <w:t>Thursday</w:t>
            </w:r>
          </w:p>
        </w:tc>
        <w:tc>
          <w:tcPr>
            <w:tcW w:w="1991"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63B9B6B1">
            <w:pPr>
              <w:jc w:val="center"/>
              <w:rPr>
                <w:rFonts w:ascii="Cambria" w:hAnsi="Cambria"/>
                <w:b/>
                <w:bCs/>
                <w:sz w:val="20"/>
                <w:szCs w:val="20"/>
                <w:highlight w:val="yellow"/>
              </w:rPr>
            </w:pPr>
            <w:r w:rsidRPr="63B9B6B1">
              <w:rPr>
                <w:rFonts w:ascii="Cambria" w:hAnsi="Cambria"/>
                <w:b/>
                <w:bCs/>
                <w:sz w:val="20"/>
                <w:szCs w:val="20"/>
                <w:highlight w:val="yellow"/>
              </w:rPr>
              <w:t>Friday</w:t>
            </w:r>
          </w:p>
        </w:tc>
      </w:tr>
      <w:tr w:rsidR="0057496A" w:rsidRPr="00F07217" w14:paraId="0EB57F5F" w14:textId="77777777" w:rsidTr="523DFA04">
        <w:trPr>
          <w:trHeight w:val="5580"/>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B56665" w:rsidRDefault="1FB2193F" w:rsidP="523DFA04">
            <w:pPr>
              <w:pStyle w:val="paragraph"/>
              <w:spacing w:before="0" w:beforeAutospacing="0" w:after="0" w:afterAutospacing="0"/>
              <w:textAlignment w:val="baseline"/>
              <w:rPr>
                <w:rStyle w:val="eop"/>
                <w:rFonts w:ascii="Cambria" w:eastAsia="Cambria" w:hAnsi="Cambria" w:cs="Cambria"/>
              </w:rPr>
            </w:pPr>
            <w:r w:rsidRPr="6C53551C">
              <w:rPr>
                <w:rFonts w:ascii="Cambria" w:eastAsia="Cambria" w:hAnsi="Cambria" w:cs="Cambria"/>
                <w:b/>
                <w:bCs/>
              </w:rPr>
              <w:t>Summary</w:t>
            </w:r>
            <w:r w:rsidR="751BA3A1" w:rsidRPr="6C53551C">
              <w:rPr>
                <w:rStyle w:val="normaltextrun"/>
                <w:rFonts w:ascii="Cambria" w:eastAsia="Cambria" w:hAnsi="Cambria" w:cs="Cambria"/>
                <w:shd w:val="clear" w:color="auto" w:fill="FFFFFF"/>
                <w:lang w:val="en-US"/>
              </w:rPr>
              <w:t xml:space="preserve"> </w:t>
            </w:r>
          </w:p>
          <w:p w14:paraId="719ED94C" w14:textId="5152F76A" w:rsidR="006C6893" w:rsidRDefault="00613F1E" w:rsidP="6C53551C">
            <w:pPr>
              <w:rPr>
                <w:rFonts w:ascii="Cambria" w:eastAsia="Cambria" w:hAnsi="Cambria" w:cs="Cambria"/>
                <w:color w:val="242424"/>
                <w:sz w:val="24"/>
                <w:szCs w:val="24"/>
                <w:lang w:val="en-US"/>
              </w:rPr>
            </w:pPr>
            <w:r>
              <w:rPr>
                <w:rFonts w:ascii="Cambria" w:eastAsia="Cambria" w:hAnsi="Cambria" w:cs="Cambria"/>
                <w:color w:val="242424"/>
                <w:sz w:val="24"/>
                <w:szCs w:val="24"/>
                <w:lang w:val="en-US"/>
              </w:rPr>
              <w:t>T</w:t>
            </w:r>
            <w:r w:rsidRPr="00613F1E">
              <w:rPr>
                <w:rFonts w:ascii="Cambria" w:eastAsia="Cambria" w:hAnsi="Cambria" w:cs="Cambria"/>
                <w:color w:val="242424"/>
                <w:sz w:val="24"/>
                <w:szCs w:val="24"/>
                <w:lang w:val="en-US"/>
              </w:rPr>
              <w:t>he</w:t>
            </w:r>
            <w:r>
              <w:rPr>
                <w:rFonts w:ascii="Cambria" w:eastAsia="Cambria" w:hAnsi="Cambria" w:cs="Cambria"/>
                <w:color w:val="242424"/>
                <w:sz w:val="24"/>
                <w:szCs w:val="24"/>
                <w:lang w:val="en-US"/>
              </w:rPr>
              <w:t xml:space="preserve"> paper/study focuses</w:t>
            </w:r>
            <w:r w:rsidRPr="00613F1E">
              <w:rPr>
                <w:rFonts w:ascii="Cambria" w:eastAsia="Cambria" w:hAnsi="Cambria" w:cs="Cambria"/>
                <w:color w:val="242424"/>
                <w:sz w:val="24"/>
                <w:szCs w:val="24"/>
                <w:lang w:val="en-US"/>
              </w:rPr>
              <w:t xml:space="preserve"> impact and effectiveness of teacher coaching in educational settings through a meta-analysis of 60 causal studies. It highlights significant positive effects on both instruction (0.49 standard deviations) and student achievement (0.18 standard deviations), underscoring the benefits of personalized coaching which include enhanced instructional skills and improved student outcomes. However, the paper also addresses the challenges of scaling coaching programs effectively, noting that while smaller programs demonstrate larger effects, these diminish as programs expand, often due to variations in implementation and coaching quality. The authors advocate for future research to understand how different coaching program designs influence effectiveness and suggest exploring innovative ways to maintain quality and cost-effectiveness at scale. Additionally, the paper reviews various coaching models and methodologies, discussing the critical factors that contribute to the success of teacher coaching initiatives, such as tailored support and ongoing professional development for educators.</w:t>
            </w:r>
          </w:p>
          <w:p w14:paraId="32FE678A" w14:textId="77777777" w:rsidR="00613F1E" w:rsidRPr="00B56665" w:rsidRDefault="00613F1E" w:rsidP="6C53551C">
            <w:pPr>
              <w:rPr>
                <w:rFonts w:ascii="Cambria" w:eastAsia="Cambria" w:hAnsi="Cambria" w:cs="Cambria"/>
                <w:sz w:val="24"/>
                <w:szCs w:val="24"/>
              </w:rPr>
            </w:pPr>
          </w:p>
          <w:p w14:paraId="2F13A612" w14:textId="07DEA2DF" w:rsidR="627CABE2" w:rsidRDefault="627CABE2" w:rsidP="6C53551C">
            <w:pPr>
              <w:rPr>
                <w:rFonts w:ascii="Cambria" w:eastAsia="Cambria" w:hAnsi="Cambria" w:cs="Cambria"/>
                <w:b/>
                <w:bCs/>
                <w:sz w:val="24"/>
                <w:szCs w:val="24"/>
              </w:rPr>
            </w:pPr>
            <w:r w:rsidRPr="523DFA04">
              <w:rPr>
                <w:rFonts w:ascii="Cambria" w:eastAsia="Cambria" w:hAnsi="Cambria" w:cs="Cambria"/>
                <w:b/>
                <w:bCs/>
                <w:sz w:val="24"/>
                <w:szCs w:val="24"/>
              </w:rPr>
              <w:t>Limitations</w:t>
            </w:r>
          </w:p>
          <w:p w14:paraId="3F890931" w14:textId="06D27709" w:rsidR="523DFA04" w:rsidRDefault="00613F1E" w:rsidP="523DFA04">
            <w:pPr>
              <w:rPr>
                <w:rFonts w:ascii="Cambria" w:eastAsia="Cambria" w:hAnsi="Cambria" w:cs="Cambria"/>
                <w:color w:val="0D0D0D" w:themeColor="text1" w:themeTint="F2"/>
                <w:sz w:val="24"/>
                <w:szCs w:val="24"/>
              </w:rPr>
            </w:pPr>
            <w:r w:rsidRPr="00613F1E">
              <w:rPr>
                <w:rFonts w:ascii="Cambria" w:eastAsia="Cambria" w:hAnsi="Cambria" w:cs="Cambria"/>
                <w:color w:val="0D0D0D" w:themeColor="text1" w:themeTint="F2"/>
                <w:sz w:val="24"/>
                <w:szCs w:val="24"/>
              </w:rPr>
              <w:t>One key challenge is the resource constraints, including the financial costs and the need for skilled coaches, which can hinder the scalability of these initiatives. Additionally, the effectiveness of coaching can vary significantly due to differences in implementation quality and coach expertise, leading to inconsistent outcomes across different settings. The diminishing effects observed in larger-scale programs suggest that maintaining coaching quality is more challenging as programs expand. Furthermore, the paper implies that the research base, while substantial, still requires more detailed examination into how specific elements of program design, such as the frequency and duration of coaching sessions, affect the outcomes. This indicates a need for ongoing research to optimize coaching strategies and fully understand their impact in diverse educational environments.</w:t>
            </w:r>
          </w:p>
          <w:p w14:paraId="314C0196" w14:textId="77777777" w:rsidR="006C6893" w:rsidRDefault="006C6893" w:rsidP="523DFA04">
            <w:pPr>
              <w:rPr>
                <w:rFonts w:ascii="Cambria" w:hAnsi="Cambria" w:cstheme="minorBidi"/>
                <w:b/>
                <w:bCs/>
              </w:rPr>
            </w:pPr>
          </w:p>
          <w:p w14:paraId="5F74899B" w14:textId="452CF26A" w:rsidR="00BE47F7" w:rsidRPr="00B56665" w:rsidRDefault="1FB2193F" w:rsidP="523DFA04">
            <w:pPr>
              <w:textAlignment w:val="baseline"/>
              <w:rPr>
                <w:rFonts w:ascii="Cambria" w:hAnsi="Cambria" w:cstheme="minorBidi"/>
                <w:b/>
                <w:bCs/>
              </w:rPr>
            </w:pPr>
            <w:r w:rsidRPr="523DFA04">
              <w:rPr>
                <w:rFonts w:ascii="Cambria" w:hAnsi="Cambria" w:cstheme="minorBidi"/>
                <w:b/>
                <w:bCs/>
              </w:rPr>
              <w:t>Reference</w:t>
            </w:r>
          </w:p>
          <w:p w14:paraId="6071F449" w14:textId="01A74D09" w:rsidR="00BE47F7" w:rsidRPr="00B56665" w:rsidRDefault="00613F1E" w:rsidP="036F23E2">
            <w:pPr>
              <w:textAlignment w:val="baseline"/>
              <w:rPr>
                <w:rFonts w:ascii="Cambria" w:eastAsia="Cambria" w:hAnsi="Cambria" w:cs="Cambria"/>
                <w:color w:val="auto"/>
                <w:sz w:val="24"/>
                <w:szCs w:val="24"/>
              </w:rPr>
            </w:pPr>
            <w:r w:rsidRPr="00613F1E">
              <w:rPr>
                <w:rFonts w:ascii="Cambria" w:eastAsia="Cambria" w:hAnsi="Cambria" w:cs="Cambria"/>
                <w:color w:val="auto"/>
                <w:sz w:val="24"/>
                <w:szCs w:val="24"/>
              </w:rPr>
              <w:t xml:space="preserve">Kraft, M. A., Blazar, D., &amp; Hogan, D. (2018). The effect of teacher coaching on instruction and achievement: A meta-analysis of the causal evidence. Review of Educational Research, 88(4), 547-588. </w:t>
            </w:r>
            <w:hyperlink r:id="rId11" w:history="1">
              <w:r w:rsidRPr="005412C0">
                <w:rPr>
                  <w:rStyle w:val="Hyperlink"/>
                  <w:rFonts w:ascii="Cambria" w:eastAsia="Cambria" w:hAnsi="Cambria" w:cs="Cambria"/>
                  <w:sz w:val="24"/>
                  <w:szCs w:val="24"/>
                </w:rPr>
                <w:t>https://journals.sagepub.com/doi/10.3102/0034654316689306</w:t>
              </w:r>
            </w:hyperlink>
            <w:r>
              <w:rPr>
                <w:rFonts w:ascii="Cambria" w:eastAsia="Cambria" w:hAnsi="Cambria" w:cs="Cambria"/>
                <w:color w:val="auto"/>
                <w:sz w:val="24"/>
                <w:szCs w:val="24"/>
              </w:rPr>
              <w:t xml:space="preserve"> </w:t>
            </w:r>
          </w:p>
        </w:tc>
      </w:tr>
      <w:tr w:rsidR="00B5000E" w:rsidRPr="00F07217" w14:paraId="0811EF35" w14:textId="77777777" w:rsidTr="523DFA04">
        <w:trPr>
          <w:trHeight w:val="1080"/>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shd w:val="clear" w:color="auto" w:fill="auto"/>
          </w:tcPr>
          <w:p w14:paraId="02295E43" w14:textId="4A0B4B4D" w:rsidR="00B5000E" w:rsidRPr="005F4A4E" w:rsidRDefault="00033024" w:rsidP="523DFA04">
            <w:pPr>
              <w:pStyle w:val="xmsolistparagraph"/>
              <w:shd w:val="clear" w:color="auto" w:fill="FFFFFF" w:themeFill="background1"/>
              <w:spacing w:before="0" w:beforeAutospacing="0" w:after="0" w:afterAutospacing="0"/>
              <w:jc w:val="both"/>
              <w:rPr>
                <w:rFonts w:ascii="Cambria" w:hAnsi="Cambria" w:cs="Calibri"/>
                <w:color w:val="201F1E"/>
              </w:rPr>
            </w:pPr>
            <w:r>
              <w:rPr>
                <w:rFonts w:ascii="Cambria" w:hAnsi="Cambria" w:cs="Calibri"/>
                <w:color w:val="201F1E"/>
              </w:rPr>
              <w:t>Alice Thomas’ reflection on ‘</w:t>
            </w:r>
            <w:r w:rsidRPr="00033024">
              <w:rPr>
                <w:rFonts w:ascii="Cambria" w:hAnsi="Cambria" w:cs="Calibri"/>
                <w:color w:val="201F1E"/>
              </w:rPr>
              <w:t>Assessing Religion and Worldviews</w:t>
            </w:r>
            <w:r>
              <w:rPr>
                <w:rFonts w:ascii="Cambria" w:hAnsi="Cambria" w:cs="Calibri"/>
                <w:color w:val="201F1E"/>
              </w:rPr>
              <w:t xml:space="preserve">’ </w:t>
            </w:r>
            <w:hyperlink r:id="rId13" w:history="1">
              <w:r w:rsidRPr="00033024">
                <w:rPr>
                  <w:rStyle w:val="Hyperlink"/>
                  <w:rFonts w:ascii="Cambria" w:hAnsi="Cambria" w:cs="Calibri"/>
                </w:rPr>
                <w:t>part 1</w:t>
              </w:r>
            </w:hyperlink>
            <w:r>
              <w:rPr>
                <w:rFonts w:ascii="Cambria" w:hAnsi="Cambria" w:cs="Calibri"/>
                <w:color w:val="201F1E"/>
              </w:rPr>
              <w:t xml:space="preserve"> and </w:t>
            </w:r>
            <w:hyperlink r:id="rId14" w:history="1">
              <w:r w:rsidRPr="00033024">
                <w:rPr>
                  <w:rStyle w:val="Hyperlink"/>
                  <w:rFonts w:ascii="Cambria" w:hAnsi="Cambria" w:cs="Calibri"/>
                </w:rPr>
                <w:t>part 2</w:t>
              </w:r>
            </w:hyperlink>
            <w:r>
              <w:rPr>
                <w:rFonts w:ascii="Cambria" w:hAnsi="Cambria" w:cs="Calibri"/>
                <w:color w:val="201F1E"/>
              </w:rPr>
              <w:t>, is a useful reflection for thinking about nature of assessment in the contemporary RE classroom. In addition to considering the place of Feedback, discussed alongside practical ideas in Cox and Hutton’s chapter in ‘</w:t>
            </w:r>
            <w:hyperlink r:id="rId15" w:history="1">
              <w:r w:rsidRPr="00033024">
                <w:rPr>
                  <w:rStyle w:val="Hyperlink"/>
                  <w:rFonts w:ascii="Cambria" w:hAnsi="Cambria" w:cs="Calibri"/>
                </w:rPr>
                <w:t xml:space="preserve">Making Every RE </w:t>
              </w:r>
              <w:r w:rsidRPr="00033024">
                <w:rPr>
                  <w:rStyle w:val="Hyperlink"/>
                  <w:rFonts w:ascii="Cambria" w:hAnsi="Cambria" w:cs="Calibri"/>
                </w:rPr>
                <w:t>L</w:t>
              </w:r>
              <w:r w:rsidRPr="00033024">
                <w:rPr>
                  <w:rStyle w:val="Hyperlink"/>
                  <w:rFonts w:ascii="Cambria" w:hAnsi="Cambria" w:cs="Calibri"/>
                </w:rPr>
                <w:t>esson Count</w:t>
              </w:r>
            </w:hyperlink>
            <w:r>
              <w:rPr>
                <w:rFonts w:ascii="Cambria" w:hAnsi="Cambria" w:cs="Calibri"/>
                <w:color w:val="201F1E"/>
              </w:rPr>
              <w:t>.’</w:t>
            </w:r>
          </w:p>
        </w:tc>
      </w:tr>
      <w:tr w:rsidR="00403E3F" w:rsidRPr="00F07217" w14:paraId="242BC6CD" w14:textId="77777777" w:rsidTr="523DFA04">
        <w:trPr>
          <w:trHeight w:val="262"/>
        </w:trPr>
        <w:tc>
          <w:tcPr>
            <w:tcW w:w="1790"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9034"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523DFA04">
        <w:trPr>
          <w:trHeight w:val="968"/>
        </w:trPr>
        <w:tc>
          <w:tcPr>
            <w:tcW w:w="1790" w:type="dxa"/>
            <w:vMerge/>
          </w:tcPr>
          <w:p w14:paraId="38A28802" w14:textId="77777777" w:rsidR="00CB44DE" w:rsidRPr="00523D39" w:rsidRDefault="00CB44DE" w:rsidP="00B5000E">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tcPr>
          <w:p w14:paraId="7691DAD3" w14:textId="65B631F6" w:rsidR="00CB44DE" w:rsidRDefault="00B74314" w:rsidP="006C6893">
            <w:pPr>
              <w:pStyle w:val="ListParagraph"/>
              <w:numPr>
                <w:ilvl w:val="0"/>
                <w:numId w:val="1"/>
              </w:numPr>
              <w:rPr>
                <w:color w:val="000000" w:themeColor="text1"/>
                <w:shd w:val="clear" w:color="auto" w:fill="FFFFFF"/>
              </w:rPr>
            </w:pPr>
            <w:r>
              <w:rPr>
                <w:color w:val="000000" w:themeColor="text1"/>
                <w:shd w:val="clear" w:color="auto" w:fill="FFFFFF"/>
              </w:rPr>
              <w:t>The importance of</w:t>
            </w:r>
            <w:r w:rsidRPr="00B74314">
              <w:rPr>
                <w:color w:val="000000" w:themeColor="text1"/>
                <w:shd w:val="clear" w:color="auto" w:fill="FFFFFF"/>
              </w:rPr>
              <w:t xml:space="preserve"> effectively monitor pupil work during </w:t>
            </w:r>
            <w:r w:rsidRPr="00B74314">
              <w:rPr>
                <w:color w:val="000000" w:themeColor="text1"/>
                <w:shd w:val="clear" w:color="auto" w:fill="FFFFFF"/>
              </w:rPr>
              <w:t>lesson.</w:t>
            </w:r>
          </w:p>
          <w:p w14:paraId="73C45C26" w14:textId="023C4AF4" w:rsidR="00B74314" w:rsidRDefault="00B74314" w:rsidP="006C6893">
            <w:pPr>
              <w:pStyle w:val="ListParagraph"/>
              <w:numPr>
                <w:ilvl w:val="0"/>
                <w:numId w:val="1"/>
              </w:numPr>
              <w:rPr>
                <w:color w:val="000000" w:themeColor="text1"/>
                <w:shd w:val="clear" w:color="auto" w:fill="FFFFFF"/>
              </w:rPr>
            </w:pPr>
            <w:r>
              <w:rPr>
                <w:color w:val="000000" w:themeColor="text1"/>
                <w:shd w:val="clear" w:color="auto" w:fill="FFFFFF"/>
              </w:rPr>
              <w:t>The reason behind using</w:t>
            </w:r>
            <w:r w:rsidRPr="00B74314">
              <w:rPr>
                <w:color w:val="000000" w:themeColor="text1"/>
                <w:shd w:val="clear" w:color="auto" w:fill="FFFFFF"/>
              </w:rPr>
              <w:t xml:space="preserve"> subject examination material to carefully structure assessment tasks that are aligned with curriculum </w:t>
            </w:r>
            <w:r w:rsidRPr="00B74314">
              <w:rPr>
                <w:color w:val="000000" w:themeColor="text1"/>
                <w:shd w:val="clear" w:color="auto" w:fill="FFFFFF"/>
              </w:rPr>
              <w:t>standards.</w:t>
            </w:r>
          </w:p>
          <w:p w14:paraId="4E488AE5" w14:textId="5EC3D65A" w:rsidR="00B74314" w:rsidRPr="006C6893" w:rsidRDefault="00B74314" w:rsidP="006C6893">
            <w:pPr>
              <w:pStyle w:val="ListParagraph"/>
              <w:numPr>
                <w:ilvl w:val="0"/>
                <w:numId w:val="1"/>
              </w:numPr>
              <w:rPr>
                <w:color w:val="000000" w:themeColor="text1"/>
                <w:shd w:val="clear" w:color="auto" w:fill="FFFFFF"/>
              </w:rPr>
            </w:pPr>
            <w:r>
              <w:rPr>
                <w:color w:val="000000" w:themeColor="text1"/>
                <w:shd w:val="clear" w:color="auto" w:fill="FFFFFF"/>
              </w:rPr>
              <w:t>That it is crucial</w:t>
            </w:r>
            <w:r w:rsidRPr="00B74314">
              <w:rPr>
                <w:color w:val="000000" w:themeColor="text1"/>
                <w:shd w:val="clear" w:color="auto" w:fill="FFFFFF"/>
              </w:rPr>
              <w:t xml:space="preserve"> constructive feedback and feedforward based on assessment tasks</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523DFA04">
        <w:trPr>
          <w:trHeight w:val="152"/>
        </w:trPr>
        <w:tc>
          <w:tcPr>
            <w:tcW w:w="1790" w:type="dxa"/>
            <w:vMerge/>
          </w:tcPr>
          <w:p w14:paraId="39E4C718" w14:textId="77777777" w:rsidR="00CB44DE" w:rsidRPr="00523D39" w:rsidRDefault="00CB44DE" w:rsidP="00D7386B">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523DFA04">
        <w:trPr>
          <w:trHeight w:val="152"/>
        </w:trPr>
        <w:tc>
          <w:tcPr>
            <w:tcW w:w="1790" w:type="dxa"/>
            <w:vMerge/>
          </w:tcPr>
          <w:p w14:paraId="6816228A" w14:textId="77777777" w:rsidR="00CB44DE" w:rsidRPr="00523D39" w:rsidRDefault="00CB44DE" w:rsidP="00D7386B">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tcPr>
          <w:p w14:paraId="7A1D7DCB" w14:textId="586FCEE1" w:rsidR="00B74314" w:rsidRDefault="00B74314" w:rsidP="036F23E2">
            <w:pPr>
              <w:pStyle w:val="ListParagraph"/>
              <w:numPr>
                <w:ilvl w:val="0"/>
                <w:numId w:val="3"/>
              </w:numPr>
              <w:rPr>
                <w:color w:val="000000" w:themeColor="text1"/>
              </w:rPr>
            </w:pPr>
            <w:r w:rsidRPr="00B74314">
              <w:rPr>
                <w:color w:val="000000" w:themeColor="text1"/>
              </w:rPr>
              <w:t>Actively observe and assess student engagement during lessons, using both direct and indirect methods to gauge understanding and participation</w:t>
            </w:r>
            <w:r>
              <w:rPr>
                <w:color w:val="000000" w:themeColor="text1"/>
              </w:rPr>
              <w:t>.</w:t>
            </w:r>
          </w:p>
          <w:p w14:paraId="3E481D36" w14:textId="77777777" w:rsidR="00B74314" w:rsidRDefault="00B74314" w:rsidP="036F23E2">
            <w:pPr>
              <w:pStyle w:val="ListParagraph"/>
              <w:numPr>
                <w:ilvl w:val="0"/>
                <w:numId w:val="3"/>
              </w:numPr>
              <w:rPr>
                <w:color w:val="000000" w:themeColor="text1"/>
              </w:rPr>
            </w:pPr>
            <w:r>
              <w:rPr>
                <w:color w:val="000000" w:themeColor="text1"/>
              </w:rPr>
              <w:t>A</w:t>
            </w:r>
            <w:r w:rsidRPr="00B74314">
              <w:rPr>
                <w:color w:val="000000" w:themeColor="text1"/>
              </w:rPr>
              <w:t>naly</w:t>
            </w:r>
            <w:r>
              <w:rPr>
                <w:color w:val="000000" w:themeColor="text1"/>
              </w:rPr>
              <w:t>s</w:t>
            </w:r>
            <w:r w:rsidRPr="00B74314">
              <w:rPr>
                <w:color w:val="000000" w:themeColor="text1"/>
              </w:rPr>
              <w:t>e and interpret various forms of assessment data to inform teaching practices and to identify students' strengths and areas for growth.</w:t>
            </w:r>
          </w:p>
          <w:p w14:paraId="3437E904" w14:textId="3E0BC46A" w:rsidR="00CB44DE" w:rsidRPr="00523D39" w:rsidRDefault="00B74314" w:rsidP="036F23E2">
            <w:pPr>
              <w:pStyle w:val="ListParagraph"/>
              <w:numPr>
                <w:ilvl w:val="0"/>
                <w:numId w:val="3"/>
              </w:numPr>
              <w:rPr>
                <w:color w:val="000000" w:themeColor="text1"/>
              </w:rPr>
            </w:pPr>
            <w:r w:rsidRPr="00B74314">
              <w:rPr>
                <w:color w:val="000000" w:themeColor="text1"/>
              </w:rPr>
              <w:t>Provide clear, constructive, and timely feedback to student</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523DFA04">
        <w:trPr>
          <w:trHeight w:val="2380"/>
        </w:trPr>
        <w:tc>
          <w:tcPr>
            <w:tcW w:w="1790"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2E467C1C" w:rsidP="6C53551C">
            <w:pPr>
              <w:spacing w:line="237" w:lineRule="auto"/>
              <w:jc w:val="center"/>
              <w:rPr>
                <w:rFonts w:ascii="Cambria" w:eastAsia="Georgia" w:hAnsi="Cambria" w:cs="Georgia"/>
                <w:b/>
                <w:bCs/>
              </w:rPr>
            </w:pPr>
            <w:r w:rsidRPr="6C53551C">
              <w:rPr>
                <w:rFonts w:ascii="Cambria" w:eastAsia="Georgia" w:hAnsi="Cambria" w:cs="Georgia"/>
                <w:b/>
                <w:bCs/>
              </w:rPr>
              <w:t xml:space="preserve">Questions for mentor and trainee to discuss in mentor meeting       </w:t>
            </w:r>
            <w:r>
              <w:rPr>
                <w:noProof/>
              </w:rPr>
              <w:drawing>
                <wp:inline distT="0" distB="0" distL="0" distR="0" wp14:anchorId="33196FB2" wp14:editId="6F0211A4">
                  <wp:extent cx="419100" cy="63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419100" cy="633311"/>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tcPr>
          <w:p w14:paraId="6873B847" w14:textId="20A2BE16" w:rsidR="00B5000E" w:rsidRPr="00523D39" w:rsidRDefault="2E467C1C" w:rsidP="523DFA04">
            <w:pPr>
              <w:pBdr>
                <w:top w:val="nil"/>
                <w:left w:val="nil"/>
                <w:bottom w:val="nil"/>
                <w:right w:val="nil"/>
                <w:between w:val="nil"/>
              </w:pBdr>
              <w:jc w:val="both"/>
              <w:rPr>
                <w:rFonts w:ascii="Cambria" w:hAnsi="Cambria"/>
                <w:b/>
                <w:bCs/>
              </w:rPr>
            </w:pPr>
            <w:r w:rsidRPr="523DFA04">
              <w:rPr>
                <w:rFonts w:ascii="Cambria" w:hAnsi="Cambria"/>
                <w:b/>
                <w:bCs/>
              </w:rPr>
              <w:t>Q1:</w:t>
            </w:r>
            <w:r w:rsidR="41F9C91E" w:rsidRPr="523DFA04">
              <w:rPr>
                <w:rFonts w:ascii="Cambria" w:hAnsi="Cambria"/>
                <w:b/>
                <w:bCs/>
              </w:rPr>
              <w:t xml:space="preserve"> </w:t>
            </w:r>
            <w:r w:rsidR="00613F1E" w:rsidRPr="00613F1E">
              <w:rPr>
                <w:rFonts w:ascii="Cambria" w:hAnsi="Cambria"/>
                <w:b/>
                <w:bCs/>
              </w:rPr>
              <w:t xml:space="preserve">How do you monitor pupil work during lessons and use assessment data to make informed decisions about adjusting your teaching?  </w:t>
            </w:r>
          </w:p>
          <w:p w14:paraId="2FCBDA67" w14:textId="50C2E1A5" w:rsidR="00B5000E" w:rsidRPr="00523D39" w:rsidRDefault="2E467C1C" w:rsidP="036F23E2">
            <w:pPr>
              <w:pBdr>
                <w:top w:val="nil"/>
                <w:left w:val="nil"/>
                <w:bottom w:val="nil"/>
                <w:right w:val="nil"/>
                <w:between w:val="nil"/>
              </w:pBdr>
              <w:jc w:val="both"/>
              <w:rPr>
                <w:rFonts w:ascii="Cambria" w:hAnsi="Cambria"/>
                <w:b/>
                <w:bCs/>
              </w:rPr>
            </w:pPr>
            <w:r w:rsidRPr="036F23E2">
              <w:rPr>
                <w:rFonts w:ascii="Cambria" w:hAnsi="Cambria"/>
                <w:b/>
                <w:bCs/>
              </w:rPr>
              <w:t>Mentor summary of trainee response:</w:t>
            </w:r>
          </w:p>
          <w:p w14:paraId="52369B8A" w14:textId="77777777" w:rsidR="00B5000E" w:rsidRDefault="00B5000E" w:rsidP="6C53551C">
            <w:pPr>
              <w:pBdr>
                <w:top w:val="nil"/>
                <w:left w:val="nil"/>
                <w:bottom w:val="nil"/>
                <w:right w:val="nil"/>
                <w:between w:val="nil"/>
              </w:pBdr>
              <w:ind w:left="720"/>
              <w:jc w:val="both"/>
              <w:rPr>
                <w:rFonts w:ascii="Cambria" w:hAnsi="Cambria"/>
                <w:b/>
                <w:bCs/>
              </w:rPr>
            </w:pPr>
          </w:p>
          <w:p w14:paraId="100E8A0E" w14:textId="77777777" w:rsidR="005F4A4E" w:rsidRPr="00523D39" w:rsidRDefault="005F4A4E" w:rsidP="6C53551C">
            <w:pPr>
              <w:pBdr>
                <w:top w:val="nil"/>
                <w:left w:val="nil"/>
                <w:bottom w:val="nil"/>
                <w:right w:val="nil"/>
                <w:between w:val="nil"/>
              </w:pBdr>
              <w:ind w:left="720"/>
              <w:jc w:val="both"/>
              <w:rPr>
                <w:rFonts w:ascii="Cambria" w:hAnsi="Cambria"/>
                <w:b/>
                <w:bCs/>
              </w:rPr>
            </w:pPr>
          </w:p>
          <w:p w14:paraId="35E74AF4" w14:textId="59F4E5D2" w:rsidR="2E467C1C" w:rsidRDefault="2E467C1C" w:rsidP="523DFA04">
            <w:pPr>
              <w:pBdr>
                <w:top w:val="nil"/>
                <w:left w:val="nil"/>
                <w:bottom w:val="nil"/>
                <w:right w:val="nil"/>
                <w:between w:val="nil"/>
              </w:pBdr>
              <w:jc w:val="both"/>
              <w:rPr>
                <w:rFonts w:ascii="Cambria" w:hAnsi="Cambria"/>
                <w:b/>
                <w:bCs/>
              </w:rPr>
            </w:pPr>
            <w:r w:rsidRPr="523DFA04">
              <w:rPr>
                <w:rFonts w:ascii="Cambria" w:hAnsi="Cambria"/>
                <w:b/>
                <w:bCs/>
              </w:rPr>
              <w:t>Q2:</w:t>
            </w:r>
            <w:r w:rsidR="41F9C91E" w:rsidRPr="523DFA04">
              <w:rPr>
                <w:rFonts w:ascii="Cambria" w:hAnsi="Cambria"/>
                <w:b/>
                <w:bCs/>
              </w:rPr>
              <w:t xml:space="preserve"> </w:t>
            </w:r>
            <w:r w:rsidR="00613F1E" w:rsidRPr="00613F1E">
              <w:rPr>
                <w:rFonts w:ascii="Cambria" w:hAnsi="Cambria"/>
                <w:b/>
                <w:bCs/>
              </w:rPr>
              <w:t>Explain your use of subject examination material to structure assessment tasks and provide feedback/feedforward to pupils.</w:t>
            </w:r>
          </w:p>
          <w:p w14:paraId="22BB80EE" w14:textId="77777777" w:rsidR="00B5000E" w:rsidRPr="00523D39" w:rsidRDefault="2E467C1C" w:rsidP="6C53551C">
            <w:pPr>
              <w:pBdr>
                <w:top w:val="nil"/>
                <w:left w:val="nil"/>
                <w:bottom w:val="nil"/>
                <w:right w:val="nil"/>
                <w:between w:val="nil"/>
              </w:pBdr>
              <w:jc w:val="both"/>
              <w:rPr>
                <w:rFonts w:ascii="Cambria" w:hAnsi="Cambria"/>
                <w:b/>
                <w:bCs/>
              </w:rPr>
            </w:pPr>
            <w:r w:rsidRPr="6C53551C">
              <w:rPr>
                <w:rFonts w:ascii="Cambria" w:hAnsi="Cambria"/>
                <w:b/>
                <w:bCs/>
              </w:rPr>
              <w:t>Mentor summary of trainee response:</w:t>
            </w:r>
          </w:p>
          <w:p w14:paraId="11852BB5" w14:textId="27192A8F" w:rsidR="008B1D2B" w:rsidRPr="00523D39" w:rsidRDefault="008B1D2B" w:rsidP="6C53551C">
            <w:pPr>
              <w:pBdr>
                <w:top w:val="nil"/>
                <w:left w:val="nil"/>
                <w:bottom w:val="nil"/>
                <w:right w:val="nil"/>
                <w:between w:val="nil"/>
              </w:pBdr>
              <w:jc w:val="both"/>
              <w:rPr>
                <w:rFonts w:ascii="Cambria" w:hAnsi="Cambria"/>
              </w:rPr>
            </w:pPr>
          </w:p>
        </w:tc>
      </w:tr>
      <w:tr w:rsidR="00B5000E" w:rsidRPr="00F07217" w14:paraId="69758A50" w14:textId="77777777" w:rsidTr="523DFA04">
        <w:trPr>
          <w:trHeight w:val="1676"/>
        </w:trPr>
        <w:tc>
          <w:tcPr>
            <w:tcW w:w="1790"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523DFA04">
        <w:trPr>
          <w:trHeight w:val="602"/>
        </w:trPr>
        <w:tc>
          <w:tcPr>
            <w:tcW w:w="1790"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99"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523DFA04">
        <w:trPr>
          <w:trHeight w:val="602"/>
        </w:trPr>
        <w:tc>
          <w:tcPr>
            <w:tcW w:w="1790" w:type="dxa"/>
            <w:vMerge/>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523DFA04">
        <w:trPr>
          <w:trHeight w:val="602"/>
        </w:trPr>
        <w:tc>
          <w:tcPr>
            <w:tcW w:w="1790" w:type="dxa"/>
            <w:vMerge/>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99"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523DFA04">
        <w:trPr>
          <w:trHeight w:val="602"/>
        </w:trPr>
        <w:tc>
          <w:tcPr>
            <w:tcW w:w="1790"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523DFA04">
        <w:trPr>
          <w:trHeight w:val="301"/>
        </w:trPr>
        <w:tc>
          <w:tcPr>
            <w:tcW w:w="1790"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9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523DFA04">
        <w:trPr>
          <w:trHeight w:val="301"/>
        </w:trPr>
        <w:tc>
          <w:tcPr>
            <w:tcW w:w="1790" w:type="dxa"/>
            <w:vMerge/>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523DFA04">
        <w:trPr>
          <w:trHeight w:val="301"/>
        </w:trPr>
        <w:tc>
          <w:tcPr>
            <w:tcW w:w="1790" w:type="dxa"/>
            <w:vMerge/>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523DFA04">
        <w:trPr>
          <w:trHeight w:val="301"/>
        </w:trPr>
        <w:tc>
          <w:tcPr>
            <w:tcW w:w="1790" w:type="dxa"/>
            <w:vMerge/>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523DFA04">
        <w:trPr>
          <w:trHeight w:val="413"/>
        </w:trPr>
        <w:tc>
          <w:tcPr>
            <w:tcW w:w="11481"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F665B">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D4E21" w14:textId="77777777" w:rsidR="00DF665B" w:rsidRDefault="00DF665B" w:rsidP="00BB0205">
      <w:pPr>
        <w:spacing w:after="0" w:line="240" w:lineRule="auto"/>
      </w:pPr>
      <w:r>
        <w:separator/>
      </w:r>
    </w:p>
  </w:endnote>
  <w:endnote w:type="continuationSeparator" w:id="0">
    <w:p w14:paraId="791C7FF8" w14:textId="77777777" w:rsidR="00DF665B" w:rsidRDefault="00DF665B"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6575" w14:textId="77777777" w:rsidR="00DF665B" w:rsidRDefault="00DF665B" w:rsidP="00BB0205">
      <w:pPr>
        <w:spacing w:after="0" w:line="240" w:lineRule="auto"/>
      </w:pPr>
      <w:r>
        <w:separator/>
      </w:r>
    </w:p>
  </w:footnote>
  <w:footnote w:type="continuationSeparator" w:id="0">
    <w:p w14:paraId="0E4A6B70" w14:textId="77777777" w:rsidR="00DF665B" w:rsidRDefault="00DF665B"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EA774"/>
    <w:multiLevelType w:val="hybridMultilevel"/>
    <w:tmpl w:val="E98A1178"/>
    <w:lvl w:ilvl="0" w:tplc="7CC6503C">
      <w:start w:val="1"/>
      <w:numFmt w:val="decimal"/>
      <w:lvlText w:val="%1."/>
      <w:lvlJc w:val="left"/>
      <w:pPr>
        <w:ind w:left="360" w:hanging="360"/>
      </w:pPr>
    </w:lvl>
    <w:lvl w:ilvl="1" w:tplc="961C4FEE">
      <w:start w:val="1"/>
      <w:numFmt w:val="lowerLetter"/>
      <w:lvlText w:val="%2."/>
      <w:lvlJc w:val="left"/>
      <w:pPr>
        <w:ind w:left="1080" w:hanging="360"/>
      </w:pPr>
    </w:lvl>
    <w:lvl w:ilvl="2" w:tplc="E6F86156">
      <w:start w:val="1"/>
      <w:numFmt w:val="lowerRoman"/>
      <w:lvlText w:val="%3."/>
      <w:lvlJc w:val="right"/>
      <w:pPr>
        <w:ind w:left="1800" w:hanging="180"/>
      </w:pPr>
    </w:lvl>
    <w:lvl w:ilvl="3" w:tplc="8048BF94">
      <w:start w:val="1"/>
      <w:numFmt w:val="decimal"/>
      <w:lvlText w:val="%4."/>
      <w:lvlJc w:val="left"/>
      <w:pPr>
        <w:ind w:left="2520" w:hanging="360"/>
      </w:pPr>
    </w:lvl>
    <w:lvl w:ilvl="4" w:tplc="1714A2E2">
      <w:start w:val="1"/>
      <w:numFmt w:val="lowerLetter"/>
      <w:lvlText w:val="%5."/>
      <w:lvlJc w:val="left"/>
      <w:pPr>
        <w:ind w:left="3240" w:hanging="360"/>
      </w:pPr>
    </w:lvl>
    <w:lvl w:ilvl="5" w:tplc="469C22B4">
      <w:start w:val="1"/>
      <w:numFmt w:val="lowerRoman"/>
      <w:lvlText w:val="%6."/>
      <w:lvlJc w:val="right"/>
      <w:pPr>
        <w:ind w:left="3960" w:hanging="180"/>
      </w:pPr>
    </w:lvl>
    <w:lvl w:ilvl="6" w:tplc="DC124EC8">
      <w:start w:val="1"/>
      <w:numFmt w:val="decimal"/>
      <w:lvlText w:val="%7."/>
      <w:lvlJc w:val="left"/>
      <w:pPr>
        <w:ind w:left="4680" w:hanging="360"/>
      </w:pPr>
    </w:lvl>
    <w:lvl w:ilvl="7" w:tplc="9F34F850">
      <w:start w:val="1"/>
      <w:numFmt w:val="lowerLetter"/>
      <w:lvlText w:val="%8."/>
      <w:lvlJc w:val="left"/>
      <w:pPr>
        <w:ind w:left="5400" w:hanging="360"/>
      </w:pPr>
    </w:lvl>
    <w:lvl w:ilvl="8" w:tplc="E01E59C4">
      <w:start w:val="1"/>
      <w:numFmt w:val="lowerRoman"/>
      <w:lvlText w:val="%9."/>
      <w:lvlJc w:val="right"/>
      <w:pPr>
        <w:ind w:left="612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CE60FB"/>
    <w:multiLevelType w:val="hybridMultilevel"/>
    <w:tmpl w:val="221273D4"/>
    <w:lvl w:ilvl="0" w:tplc="EC14421A">
      <w:start w:val="1"/>
      <w:numFmt w:val="decimal"/>
      <w:lvlText w:val="%1."/>
      <w:lvlJc w:val="left"/>
      <w:pPr>
        <w:ind w:left="360" w:hanging="360"/>
      </w:pPr>
    </w:lvl>
    <w:lvl w:ilvl="1" w:tplc="307680DA">
      <w:start w:val="1"/>
      <w:numFmt w:val="lowerLetter"/>
      <w:lvlText w:val="%2."/>
      <w:lvlJc w:val="left"/>
      <w:pPr>
        <w:ind w:left="1080" w:hanging="360"/>
      </w:pPr>
    </w:lvl>
    <w:lvl w:ilvl="2" w:tplc="B3844FAA">
      <w:start w:val="1"/>
      <w:numFmt w:val="lowerRoman"/>
      <w:lvlText w:val="%3."/>
      <w:lvlJc w:val="right"/>
      <w:pPr>
        <w:ind w:left="1800" w:hanging="180"/>
      </w:pPr>
    </w:lvl>
    <w:lvl w:ilvl="3" w:tplc="A0FA0CFE">
      <w:start w:val="1"/>
      <w:numFmt w:val="decimal"/>
      <w:lvlText w:val="%4."/>
      <w:lvlJc w:val="left"/>
      <w:pPr>
        <w:ind w:left="2520" w:hanging="360"/>
      </w:pPr>
    </w:lvl>
    <w:lvl w:ilvl="4" w:tplc="DE6C5802">
      <w:start w:val="1"/>
      <w:numFmt w:val="lowerLetter"/>
      <w:lvlText w:val="%5."/>
      <w:lvlJc w:val="left"/>
      <w:pPr>
        <w:ind w:left="3240" w:hanging="360"/>
      </w:pPr>
    </w:lvl>
    <w:lvl w:ilvl="5" w:tplc="ABC64B58">
      <w:start w:val="1"/>
      <w:numFmt w:val="lowerRoman"/>
      <w:lvlText w:val="%6."/>
      <w:lvlJc w:val="right"/>
      <w:pPr>
        <w:ind w:left="3960" w:hanging="180"/>
      </w:pPr>
    </w:lvl>
    <w:lvl w:ilvl="6" w:tplc="F7F4DE3E">
      <w:start w:val="1"/>
      <w:numFmt w:val="decimal"/>
      <w:lvlText w:val="%7."/>
      <w:lvlJc w:val="left"/>
      <w:pPr>
        <w:ind w:left="4680" w:hanging="360"/>
      </w:pPr>
    </w:lvl>
    <w:lvl w:ilvl="7" w:tplc="A8DC715E">
      <w:start w:val="1"/>
      <w:numFmt w:val="lowerLetter"/>
      <w:lvlText w:val="%8."/>
      <w:lvlJc w:val="left"/>
      <w:pPr>
        <w:ind w:left="5400" w:hanging="360"/>
      </w:pPr>
    </w:lvl>
    <w:lvl w:ilvl="8" w:tplc="A112A5D4">
      <w:start w:val="1"/>
      <w:numFmt w:val="lowerRoman"/>
      <w:lvlText w:val="%9."/>
      <w:lvlJc w:val="right"/>
      <w:pPr>
        <w:ind w:left="6120" w:hanging="180"/>
      </w:pPr>
    </w:lvl>
  </w:abstractNum>
  <w:abstractNum w:abstractNumId="5" w15:restartNumberingAfterBreak="0">
    <w:nsid w:val="50292FF9"/>
    <w:multiLevelType w:val="hybridMultilevel"/>
    <w:tmpl w:val="E20ECA90"/>
    <w:lvl w:ilvl="0" w:tplc="7130DECA">
      <w:start w:val="1"/>
      <w:numFmt w:val="decimal"/>
      <w:lvlText w:val="%1."/>
      <w:lvlJc w:val="left"/>
      <w:pPr>
        <w:ind w:left="360" w:hanging="360"/>
      </w:pPr>
    </w:lvl>
    <w:lvl w:ilvl="1" w:tplc="974E2540">
      <w:start w:val="1"/>
      <w:numFmt w:val="lowerLetter"/>
      <w:lvlText w:val="%2."/>
      <w:lvlJc w:val="left"/>
      <w:pPr>
        <w:ind w:left="1080" w:hanging="360"/>
      </w:pPr>
    </w:lvl>
    <w:lvl w:ilvl="2" w:tplc="6EDEA6DA">
      <w:start w:val="1"/>
      <w:numFmt w:val="lowerRoman"/>
      <w:lvlText w:val="%3."/>
      <w:lvlJc w:val="right"/>
      <w:pPr>
        <w:ind w:left="1800" w:hanging="180"/>
      </w:pPr>
    </w:lvl>
    <w:lvl w:ilvl="3" w:tplc="82E65802">
      <w:start w:val="1"/>
      <w:numFmt w:val="decimal"/>
      <w:lvlText w:val="%4."/>
      <w:lvlJc w:val="left"/>
      <w:pPr>
        <w:ind w:left="2520" w:hanging="360"/>
      </w:pPr>
    </w:lvl>
    <w:lvl w:ilvl="4" w:tplc="CE064E8A">
      <w:start w:val="1"/>
      <w:numFmt w:val="lowerLetter"/>
      <w:lvlText w:val="%5."/>
      <w:lvlJc w:val="left"/>
      <w:pPr>
        <w:ind w:left="3240" w:hanging="360"/>
      </w:pPr>
    </w:lvl>
    <w:lvl w:ilvl="5" w:tplc="89E23C58">
      <w:start w:val="1"/>
      <w:numFmt w:val="lowerRoman"/>
      <w:lvlText w:val="%6."/>
      <w:lvlJc w:val="right"/>
      <w:pPr>
        <w:ind w:left="3960" w:hanging="180"/>
      </w:pPr>
    </w:lvl>
    <w:lvl w:ilvl="6" w:tplc="90D6EC42">
      <w:start w:val="1"/>
      <w:numFmt w:val="decimal"/>
      <w:lvlText w:val="%7."/>
      <w:lvlJc w:val="left"/>
      <w:pPr>
        <w:ind w:left="4680" w:hanging="360"/>
      </w:pPr>
    </w:lvl>
    <w:lvl w:ilvl="7" w:tplc="4A5AD75E">
      <w:start w:val="1"/>
      <w:numFmt w:val="lowerLetter"/>
      <w:lvlText w:val="%8."/>
      <w:lvlJc w:val="left"/>
      <w:pPr>
        <w:ind w:left="5400" w:hanging="360"/>
      </w:pPr>
    </w:lvl>
    <w:lvl w:ilvl="8" w:tplc="B41C4CFA">
      <w:start w:val="1"/>
      <w:numFmt w:val="lowerRoman"/>
      <w:lvlText w:val="%9."/>
      <w:lvlJc w:val="right"/>
      <w:pPr>
        <w:ind w:left="6120" w:hanging="180"/>
      </w:pPr>
    </w:lvl>
  </w:abstractNum>
  <w:abstractNum w:abstractNumId="6"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167473910">
    <w:abstractNumId w:val="1"/>
  </w:num>
  <w:num w:numId="2" w16cid:durableId="1833905498">
    <w:abstractNumId w:val="5"/>
  </w:num>
  <w:num w:numId="3" w16cid:durableId="1581404605">
    <w:abstractNumId w:val="4"/>
  </w:num>
  <w:num w:numId="4" w16cid:durableId="1670982005">
    <w:abstractNumId w:val="6"/>
  </w:num>
  <w:num w:numId="5" w16cid:durableId="745959156">
    <w:abstractNumId w:val="3"/>
  </w:num>
  <w:num w:numId="6" w16cid:durableId="365060952">
    <w:abstractNumId w:val="2"/>
  </w:num>
  <w:num w:numId="7" w16cid:durableId="970749666">
    <w:abstractNumId w:val="0"/>
  </w:num>
  <w:num w:numId="8" w16cid:durableId="37501385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33024"/>
    <w:rsid w:val="000467DF"/>
    <w:rsid w:val="000A4500"/>
    <w:rsid w:val="000C0420"/>
    <w:rsid w:val="000D2747"/>
    <w:rsid w:val="000D5631"/>
    <w:rsid w:val="000D6922"/>
    <w:rsid w:val="000F7F57"/>
    <w:rsid w:val="00132F3C"/>
    <w:rsid w:val="001436B1"/>
    <w:rsid w:val="0014695D"/>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3501"/>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C3F7D"/>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D7A33"/>
    <w:rsid w:val="004E4D54"/>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2AC"/>
    <w:rsid w:val="00586ACC"/>
    <w:rsid w:val="005A6715"/>
    <w:rsid w:val="005B4FD8"/>
    <w:rsid w:val="005C4629"/>
    <w:rsid w:val="005C4DE7"/>
    <w:rsid w:val="005E244C"/>
    <w:rsid w:val="005F3947"/>
    <w:rsid w:val="005F4A4E"/>
    <w:rsid w:val="005F5A1C"/>
    <w:rsid w:val="00606867"/>
    <w:rsid w:val="006102D0"/>
    <w:rsid w:val="006112AB"/>
    <w:rsid w:val="006135EC"/>
    <w:rsid w:val="00613F1E"/>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C6893"/>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486"/>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9709E"/>
    <w:rsid w:val="009B3121"/>
    <w:rsid w:val="009B6144"/>
    <w:rsid w:val="009C79B8"/>
    <w:rsid w:val="009D30D2"/>
    <w:rsid w:val="00A00F62"/>
    <w:rsid w:val="00A166D0"/>
    <w:rsid w:val="00A27B4C"/>
    <w:rsid w:val="00A364AE"/>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6249A"/>
    <w:rsid w:val="00B64B0A"/>
    <w:rsid w:val="00B71FAE"/>
    <w:rsid w:val="00B74314"/>
    <w:rsid w:val="00B75F73"/>
    <w:rsid w:val="00B8188E"/>
    <w:rsid w:val="00BA06A2"/>
    <w:rsid w:val="00BA12BC"/>
    <w:rsid w:val="00BA3E39"/>
    <w:rsid w:val="00BB0205"/>
    <w:rsid w:val="00BC2D67"/>
    <w:rsid w:val="00BE47F7"/>
    <w:rsid w:val="00BF017F"/>
    <w:rsid w:val="00BF1357"/>
    <w:rsid w:val="00BF6FA3"/>
    <w:rsid w:val="00C11AF8"/>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6EEE"/>
    <w:rsid w:val="00D67B11"/>
    <w:rsid w:val="00D7386B"/>
    <w:rsid w:val="00D8211D"/>
    <w:rsid w:val="00D852D6"/>
    <w:rsid w:val="00D9275F"/>
    <w:rsid w:val="00D9612E"/>
    <w:rsid w:val="00DA4C7E"/>
    <w:rsid w:val="00DB4B64"/>
    <w:rsid w:val="00DD5A4F"/>
    <w:rsid w:val="00DF665B"/>
    <w:rsid w:val="00DF760B"/>
    <w:rsid w:val="00E22452"/>
    <w:rsid w:val="00E25F07"/>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 w:val="036F23E2"/>
    <w:rsid w:val="03AF950D"/>
    <w:rsid w:val="03BE8CBB"/>
    <w:rsid w:val="090FEAB4"/>
    <w:rsid w:val="09D95EC7"/>
    <w:rsid w:val="0CF548B0"/>
    <w:rsid w:val="0D7BA5B5"/>
    <w:rsid w:val="0DE35BD7"/>
    <w:rsid w:val="10560FF5"/>
    <w:rsid w:val="10BC13FF"/>
    <w:rsid w:val="15969C45"/>
    <w:rsid w:val="15E9C93B"/>
    <w:rsid w:val="166F71F5"/>
    <w:rsid w:val="16E1CB0D"/>
    <w:rsid w:val="1793E323"/>
    <w:rsid w:val="18A76E0E"/>
    <w:rsid w:val="1A74EAD6"/>
    <w:rsid w:val="1CD5E759"/>
    <w:rsid w:val="1D7D27BC"/>
    <w:rsid w:val="1E71B7BA"/>
    <w:rsid w:val="1F28A724"/>
    <w:rsid w:val="1FB2193F"/>
    <w:rsid w:val="206FEA98"/>
    <w:rsid w:val="209EDBDF"/>
    <w:rsid w:val="20A2760A"/>
    <w:rsid w:val="21413C5C"/>
    <w:rsid w:val="23D746EA"/>
    <w:rsid w:val="2439EA69"/>
    <w:rsid w:val="246375F3"/>
    <w:rsid w:val="24E367F1"/>
    <w:rsid w:val="28D22E12"/>
    <w:rsid w:val="29A15B16"/>
    <w:rsid w:val="29AF16BC"/>
    <w:rsid w:val="2A55CB32"/>
    <w:rsid w:val="2A634077"/>
    <w:rsid w:val="2A86EC2E"/>
    <w:rsid w:val="2B0E61AC"/>
    <w:rsid w:val="2D885B1B"/>
    <w:rsid w:val="2DDFCE16"/>
    <w:rsid w:val="2E062BF9"/>
    <w:rsid w:val="2E467C1C"/>
    <w:rsid w:val="2F7CCAEB"/>
    <w:rsid w:val="2FD48748"/>
    <w:rsid w:val="30B2B588"/>
    <w:rsid w:val="3239FECD"/>
    <w:rsid w:val="331CA487"/>
    <w:rsid w:val="33459E2D"/>
    <w:rsid w:val="33AE2BE9"/>
    <w:rsid w:val="33C0431C"/>
    <w:rsid w:val="33E8903B"/>
    <w:rsid w:val="33F48DF1"/>
    <w:rsid w:val="3438B115"/>
    <w:rsid w:val="350DE922"/>
    <w:rsid w:val="369519CA"/>
    <w:rsid w:val="36F1ADCA"/>
    <w:rsid w:val="378F8EE1"/>
    <w:rsid w:val="3860B705"/>
    <w:rsid w:val="3A5596E8"/>
    <w:rsid w:val="3B5523B5"/>
    <w:rsid w:val="3D82D736"/>
    <w:rsid w:val="3DE5A808"/>
    <w:rsid w:val="4196E112"/>
    <w:rsid w:val="41D5C4E4"/>
    <w:rsid w:val="41E68C98"/>
    <w:rsid w:val="41F9C91E"/>
    <w:rsid w:val="463E5964"/>
    <w:rsid w:val="46C39F09"/>
    <w:rsid w:val="49727BE3"/>
    <w:rsid w:val="49A9F75B"/>
    <w:rsid w:val="4AB563E5"/>
    <w:rsid w:val="4B035899"/>
    <w:rsid w:val="4B3EED4F"/>
    <w:rsid w:val="4C98F2FE"/>
    <w:rsid w:val="4CCF1388"/>
    <w:rsid w:val="4CE226CD"/>
    <w:rsid w:val="4DC2C89D"/>
    <w:rsid w:val="4DF5872E"/>
    <w:rsid w:val="4E35E882"/>
    <w:rsid w:val="4F5E98FE"/>
    <w:rsid w:val="4F6C4FDA"/>
    <w:rsid w:val="4F91578F"/>
    <w:rsid w:val="50FA695F"/>
    <w:rsid w:val="523DFA04"/>
    <w:rsid w:val="526BC1CF"/>
    <w:rsid w:val="52B52399"/>
    <w:rsid w:val="53307626"/>
    <w:rsid w:val="53A8EDB0"/>
    <w:rsid w:val="54079230"/>
    <w:rsid w:val="5472FADC"/>
    <w:rsid w:val="54EAABA3"/>
    <w:rsid w:val="559F2BE4"/>
    <w:rsid w:val="55A36291"/>
    <w:rsid w:val="57EAF739"/>
    <w:rsid w:val="5ABA93A9"/>
    <w:rsid w:val="5BBCC491"/>
    <w:rsid w:val="5BE71FDD"/>
    <w:rsid w:val="5D69A499"/>
    <w:rsid w:val="5DB892F7"/>
    <w:rsid w:val="627CABE2"/>
    <w:rsid w:val="634E5A21"/>
    <w:rsid w:val="63B9B6B1"/>
    <w:rsid w:val="65DD6862"/>
    <w:rsid w:val="677938C3"/>
    <w:rsid w:val="69364519"/>
    <w:rsid w:val="6A00C7B3"/>
    <w:rsid w:val="6A28F835"/>
    <w:rsid w:val="6C0A242C"/>
    <w:rsid w:val="6C53551C"/>
    <w:rsid w:val="6D1FC839"/>
    <w:rsid w:val="6EFC6958"/>
    <w:rsid w:val="6F0A9B82"/>
    <w:rsid w:val="6F9267C3"/>
    <w:rsid w:val="70A8CF94"/>
    <w:rsid w:val="70AE5235"/>
    <w:rsid w:val="751BA3A1"/>
    <w:rsid w:val="753EBBA0"/>
    <w:rsid w:val="76DCAA32"/>
    <w:rsid w:val="76E655BB"/>
    <w:rsid w:val="775543F0"/>
    <w:rsid w:val="77560902"/>
    <w:rsid w:val="78787A93"/>
    <w:rsid w:val="78B66422"/>
    <w:rsid w:val="78C467AF"/>
    <w:rsid w:val="78C9A13E"/>
    <w:rsid w:val="79953295"/>
    <w:rsid w:val="7A144AF4"/>
    <w:rsid w:val="7A25BCF4"/>
    <w:rsid w:val="7A470985"/>
    <w:rsid w:val="7ABC1FA4"/>
    <w:rsid w:val="7AE4CBE7"/>
    <w:rsid w:val="7B783A88"/>
    <w:rsid w:val="7C18997B"/>
    <w:rsid w:val="7D1D3D18"/>
    <w:rsid w:val="7D3D6846"/>
    <w:rsid w:val="7D650DFE"/>
    <w:rsid w:val="7E339620"/>
    <w:rsid w:val="7EE87A19"/>
    <w:rsid w:val="7F89339B"/>
    <w:rsid w:val="7FDFE0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online.org.uk/2023/11/28/assessing-religion-and-worldviews-part-1/"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s.sagepub.com/doi/10.3102/0034654316689306"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bookcentral.proquest.com/lib/edgehill/reader.action?docID=6467395&amp;ppg=130"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online.org.uk/2023/11/28/assessing-religion-and-worldviews-part-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Heather</cp:lastModifiedBy>
  <cp:revision>2</cp:revision>
  <cp:lastPrinted>2023-05-18T14:08:00Z</cp:lastPrinted>
  <dcterms:created xsi:type="dcterms:W3CDTF">2024-04-25T10:34:00Z</dcterms:created>
  <dcterms:modified xsi:type="dcterms:W3CDTF">2024-04-25T10:34:00Z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