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239"/>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3C33D78" w14:textId="77777777" w:rsidR="00DA3C8A"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0E105616" w:rsidR="00BB0205" w:rsidRPr="00523D39" w:rsidRDefault="00966A4C" w:rsidP="00F07217">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5B31064E"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810CFD">
              <w:rPr>
                <w:rFonts w:ascii="Cambria" w:eastAsia="Georgia" w:hAnsi="Cambria" w:cs="Georgia"/>
                <w:b/>
                <w:color w:val="FFFFFF" w:themeColor="background1"/>
                <w:sz w:val="20"/>
                <w:szCs w:val="20"/>
              </w:rPr>
              <w:t>3</w:t>
            </w:r>
            <w:r w:rsidR="00211DF8">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3CFF38A"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PGCE SECONDARY SCIENCE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7F001A"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7F001A"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826E343" w:rsidR="004009A7" w:rsidRPr="00523D39" w:rsidRDefault="00810CFD">
            <w:pPr>
              <w:jc w:val="both"/>
              <w:rPr>
                <w:rFonts w:ascii="Cambria" w:hAnsi="Cambria"/>
                <w:b/>
                <w:bCs/>
                <w:sz w:val="20"/>
                <w:szCs w:val="20"/>
              </w:rPr>
            </w:pPr>
            <w:r>
              <w:rPr>
                <w:rFonts w:ascii="Cambria" w:hAnsi="Cambria"/>
                <w:b/>
                <w:bCs/>
                <w:sz w:val="20"/>
                <w:szCs w:val="20"/>
              </w:rPr>
              <w:t xml:space="preserve">Consolidation </w:t>
            </w:r>
            <w:r w:rsidR="006B0AB6">
              <w:rPr>
                <w:rFonts w:ascii="Cambria" w:hAnsi="Cambria"/>
                <w:b/>
                <w:bCs/>
                <w:sz w:val="20"/>
                <w:szCs w:val="20"/>
              </w:rPr>
              <w:t>Placement</w:t>
            </w:r>
          </w:p>
        </w:tc>
      </w:tr>
      <w:tr w:rsidR="007F001A"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B8011EA" w:rsidR="004009A7" w:rsidRPr="00523D39" w:rsidRDefault="006B0AB6">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7F001A"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5094C9B3" w:rsidR="004009A7" w:rsidRPr="00523D39" w:rsidRDefault="005479C5">
            <w:pPr>
              <w:jc w:val="both"/>
              <w:rPr>
                <w:rFonts w:ascii="Cambria" w:hAnsi="Cambria"/>
                <w:b/>
                <w:bCs/>
                <w:sz w:val="20"/>
                <w:szCs w:val="20"/>
              </w:rPr>
            </w:pPr>
            <w:r>
              <w:rPr>
                <w:rFonts w:ascii="Cambria" w:hAnsi="Cambria"/>
                <w:b/>
                <w:bCs/>
                <w:sz w:val="20"/>
                <w:szCs w:val="20"/>
              </w:rPr>
              <w:t xml:space="preserve">PGCE SECONDARY </w:t>
            </w:r>
            <w:r w:rsidR="009A5B5A">
              <w:rPr>
                <w:rFonts w:ascii="Cambria" w:hAnsi="Cambria"/>
                <w:b/>
                <w:bCs/>
                <w:sz w:val="20"/>
                <w:szCs w:val="20"/>
              </w:rPr>
              <w:t>SCIENCE (11-16)</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F0E6BF6" w:rsidR="004009A7" w:rsidRPr="00523D39" w:rsidRDefault="008A2890">
            <w:pPr>
              <w:jc w:val="both"/>
              <w:rPr>
                <w:rFonts w:ascii="Cambria" w:hAnsi="Cambria"/>
                <w:b/>
                <w:bCs/>
                <w:sz w:val="20"/>
                <w:szCs w:val="20"/>
              </w:rPr>
            </w:pPr>
            <w:r>
              <w:rPr>
                <w:rFonts w:ascii="Cambria" w:hAnsi="Cambria"/>
                <w:b/>
                <w:bCs/>
                <w:sz w:val="20"/>
                <w:szCs w:val="20"/>
              </w:rPr>
              <w:t>20</w:t>
            </w:r>
            <w:r w:rsidRPr="008A2890">
              <w:rPr>
                <w:rFonts w:ascii="Cambria" w:hAnsi="Cambria"/>
                <w:b/>
                <w:bCs/>
                <w:sz w:val="20"/>
                <w:szCs w:val="20"/>
                <w:vertAlign w:val="superscript"/>
              </w:rPr>
              <w:t>th</w:t>
            </w:r>
            <w:r>
              <w:rPr>
                <w:rFonts w:ascii="Cambria" w:hAnsi="Cambria"/>
                <w:b/>
                <w:bCs/>
                <w:sz w:val="20"/>
                <w:szCs w:val="20"/>
              </w:rPr>
              <w:t xml:space="preserve"> </w:t>
            </w:r>
            <w:r w:rsidR="00C71D7C">
              <w:rPr>
                <w:rFonts w:ascii="Cambria" w:hAnsi="Cambria"/>
                <w:b/>
                <w:bCs/>
                <w:sz w:val="20"/>
                <w:szCs w:val="20"/>
              </w:rPr>
              <w:t xml:space="preserve">MAY </w:t>
            </w:r>
            <w:r w:rsidR="00B92274">
              <w:rPr>
                <w:rFonts w:ascii="Cambria" w:hAnsi="Cambria"/>
                <w:b/>
                <w:bCs/>
                <w:sz w:val="20"/>
                <w:szCs w:val="20"/>
              </w:rPr>
              <w:t>2024</w:t>
            </w:r>
          </w:p>
        </w:tc>
      </w:tr>
      <w:tr w:rsidR="007F001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4E9B9EB2" w:rsidR="006B0AB6" w:rsidRPr="00523D39" w:rsidRDefault="000F296B"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3B8E89D4"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4DF42518" w14:textId="2A3FE402" w:rsidR="00FD0C65" w:rsidRDefault="00FD0C65" w:rsidP="005113AE">
            <w:pPr>
              <w:jc w:val="center"/>
              <w:rPr>
                <w:rFonts w:ascii="Cambria" w:hAnsi="Cambria"/>
                <w:b/>
                <w:bCs/>
                <w:sz w:val="20"/>
                <w:szCs w:val="20"/>
              </w:rPr>
            </w:pPr>
            <w:r>
              <w:rPr>
                <w:rFonts w:ascii="Cambria" w:hAnsi="Cambria"/>
                <w:b/>
                <w:bCs/>
                <w:sz w:val="20"/>
                <w:szCs w:val="20"/>
              </w:rPr>
              <w:t>/</w:t>
            </w:r>
          </w:p>
          <w:p w14:paraId="6F839360" w14:textId="53EB4F17" w:rsidR="006B0AB6" w:rsidRPr="00523D39" w:rsidRDefault="006B0AB6" w:rsidP="005113AE">
            <w:pPr>
              <w:jc w:val="center"/>
              <w:rPr>
                <w:rFonts w:ascii="Cambria" w:hAnsi="Cambria"/>
                <w:b/>
                <w:bCs/>
                <w:sz w:val="20"/>
                <w:szCs w:val="20"/>
              </w:rPr>
            </w:pP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400FEF6" w14:textId="77777777" w:rsidR="007A120D" w:rsidRDefault="00F45E23" w:rsidP="007A120D">
            <w:pPr>
              <w:pStyle w:val="NormalWeb"/>
              <w:rPr>
                <w:rFonts w:ascii="Cambria" w:hAnsi="Cambria" w:cstheme="minorHAnsi"/>
                <w:b/>
                <w:bCs/>
                <w:sz w:val="20"/>
                <w:szCs w:val="20"/>
              </w:rPr>
            </w:pPr>
            <w:r w:rsidRPr="00523D39">
              <w:rPr>
                <w:rFonts w:ascii="Cambria" w:hAnsi="Cambria" w:cstheme="minorHAnsi"/>
                <w:b/>
                <w:bCs/>
                <w:sz w:val="20"/>
                <w:szCs w:val="20"/>
              </w:rPr>
              <w:t>Su</w:t>
            </w:r>
            <w:r w:rsidR="00290A87">
              <w:rPr>
                <w:rFonts w:ascii="Cambria" w:hAnsi="Cambria" w:cstheme="minorHAnsi"/>
                <w:b/>
                <w:bCs/>
                <w:sz w:val="20"/>
                <w:szCs w:val="20"/>
              </w:rPr>
              <w:t>m</w:t>
            </w:r>
            <w:r w:rsidRPr="00523D39">
              <w:rPr>
                <w:rFonts w:ascii="Cambria" w:hAnsi="Cambria" w:cstheme="minorHAnsi"/>
                <w:b/>
                <w:bCs/>
                <w:sz w:val="20"/>
                <w:szCs w:val="20"/>
              </w:rPr>
              <w:t>mary</w:t>
            </w:r>
            <w:r w:rsidR="00157999">
              <w:rPr>
                <w:rFonts w:ascii="Cambria" w:hAnsi="Cambria" w:cstheme="minorHAnsi"/>
                <w:b/>
                <w:bCs/>
                <w:sz w:val="20"/>
                <w:szCs w:val="20"/>
              </w:rPr>
              <w:t>:</w:t>
            </w:r>
          </w:p>
          <w:p w14:paraId="3185143E" w14:textId="19EE1BA6" w:rsidR="00211DF8" w:rsidRPr="00211DF8" w:rsidRDefault="00211DF8" w:rsidP="007A120D">
            <w:pPr>
              <w:pStyle w:val="NormalWeb"/>
              <w:rPr>
                <w:rFonts w:ascii="Cambria" w:hAnsi="Cambria" w:cstheme="minorHAnsi"/>
                <w:sz w:val="20"/>
                <w:szCs w:val="20"/>
              </w:rPr>
            </w:pPr>
            <w:r w:rsidRPr="00211DF8">
              <w:rPr>
                <w:rFonts w:ascii="Cambria" w:hAnsi="Cambria" w:cstheme="minorHAnsi"/>
                <w:sz w:val="20"/>
                <w:szCs w:val="20"/>
              </w:rPr>
              <w:t>The paper examines school exclusion and alternative provision (AP) in Wales, highlighting disparities and focusing on children's rights. While some young people report positive experiences, broader findings reveal inconsistencies and concerns, necessitating urgent changes to align with children's rights. Recommendations include improving behaviour management, provision quality, and implementing a national strategy for staff training and better services. Addressing systemic issues, such as high exclusion rates for SEN and disadvantaged pupils, is crucial for upholding children's rights and fostering confidence in the education system.</w:t>
            </w:r>
          </w:p>
          <w:p w14:paraId="4A95E648" w14:textId="77777777" w:rsidR="00872478" w:rsidRDefault="00F45E23" w:rsidP="00872478">
            <w:pPr>
              <w:pStyle w:val="NormalWeb"/>
              <w:rPr>
                <w:rFonts w:ascii="Cambria" w:hAnsi="Cambria" w:cstheme="minorHAnsi"/>
                <w:b/>
                <w:bCs/>
                <w:sz w:val="20"/>
                <w:szCs w:val="20"/>
              </w:rPr>
            </w:pPr>
            <w:r w:rsidRPr="00523D39">
              <w:rPr>
                <w:rFonts w:ascii="Cambria" w:hAnsi="Cambria" w:cstheme="minorHAnsi"/>
                <w:b/>
                <w:bCs/>
                <w:sz w:val="20"/>
                <w:szCs w:val="20"/>
              </w:rPr>
              <w:t>Limitations:</w:t>
            </w:r>
            <w:r w:rsidR="00157999">
              <w:rPr>
                <w:rFonts w:ascii="Cambria" w:hAnsi="Cambria" w:cstheme="minorHAnsi"/>
                <w:b/>
                <w:bCs/>
                <w:sz w:val="20"/>
                <w:szCs w:val="20"/>
              </w:rPr>
              <w:t xml:space="preserve"> </w:t>
            </w:r>
          </w:p>
          <w:p w14:paraId="59CE2E80" w14:textId="7C2057CE" w:rsidR="00211DF8" w:rsidRPr="00211DF8" w:rsidRDefault="00211DF8" w:rsidP="00872478">
            <w:pPr>
              <w:pStyle w:val="NormalWeb"/>
              <w:rPr>
                <w:rFonts w:ascii="Cambria" w:hAnsi="Cambria" w:cstheme="minorHAnsi"/>
                <w:sz w:val="20"/>
                <w:szCs w:val="20"/>
              </w:rPr>
            </w:pPr>
            <w:r w:rsidRPr="00211DF8">
              <w:rPr>
                <w:rFonts w:ascii="Cambria" w:hAnsi="Cambria" w:cstheme="minorHAnsi"/>
                <w:sz w:val="20"/>
                <w:szCs w:val="20"/>
              </w:rPr>
              <w:t>The study is confined to Wales not the rest of the UK, only 156 interviews were carried out and we don't know what type of questions were asked. It was also carried out by the Welsh government who may have a particular agenda against AP.</w:t>
            </w:r>
          </w:p>
          <w:p w14:paraId="76775253" w14:textId="4323FFFC" w:rsidR="00B21622" w:rsidRDefault="00F45E23" w:rsidP="00872478">
            <w:pPr>
              <w:spacing w:after="160" w:line="259" w:lineRule="auto"/>
              <w:rPr>
                <w:rFonts w:ascii="Cambria" w:hAnsi="Cambria" w:cstheme="minorHAnsi"/>
                <w:sz w:val="20"/>
                <w:szCs w:val="20"/>
              </w:rPr>
            </w:pPr>
            <w:r w:rsidRPr="00523D39">
              <w:rPr>
                <w:rFonts w:ascii="Cambria" w:hAnsi="Cambria" w:cstheme="minorHAnsi"/>
                <w:b/>
                <w:bCs/>
                <w:sz w:val="20"/>
                <w:szCs w:val="20"/>
              </w:rPr>
              <w:t>Reference</w:t>
            </w:r>
            <w:r w:rsidR="00157999" w:rsidRPr="00290A87">
              <w:rPr>
                <w:rFonts w:ascii="Cambria" w:hAnsi="Cambria" w:cstheme="minorHAnsi"/>
                <w:sz w:val="20"/>
                <w:szCs w:val="20"/>
              </w:rPr>
              <w:t>:</w:t>
            </w:r>
            <w:r w:rsidR="00DA3C8A" w:rsidRPr="00290A87">
              <w:rPr>
                <w:rFonts w:ascii="Cambria" w:hAnsi="Cambria" w:cstheme="minorHAnsi"/>
                <w:sz w:val="20"/>
                <w:szCs w:val="20"/>
              </w:rPr>
              <w:t xml:space="preserve"> </w:t>
            </w:r>
            <w:r w:rsidR="00157999" w:rsidRPr="00290A87">
              <w:rPr>
                <w:rFonts w:ascii="Cambria" w:hAnsi="Cambria" w:cstheme="minorHAnsi"/>
                <w:sz w:val="20"/>
                <w:szCs w:val="20"/>
              </w:rPr>
              <w:t xml:space="preserve"> </w:t>
            </w:r>
          </w:p>
          <w:p w14:paraId="3BBE17A5" w14:textId="77777777" w:rsidR="00211DF8" w:rsidRDefault="00211DF8" w:rsidP="00872478">
            <w:pPr>
              <w:spacing w:after="160" w:line="259" w:lineRule="auto"/>
              <w:rPr>
                <w:rFonts w:ascii="Cambria" w:hAnsi="Cambria" w:cstheme="minorHAnsi"/>
                <w:sz w:val="20"/>
                <w:szCs w:val="20"/>
              </w:rPr>
            </w:pPr>
            <w:r w:rsidRPr="00211DF8">
              <w:rPr>
                <w:rFonts w:ascii="Cambria" w:hAnsi="Cambria" w:cstheme="minorHAnsi"/>
                <w:sz w:val="20"/>
                <w:szCs w:val="20"/>
              </w:rPr>
              <w:t>McClusky, G., Riddell, S., &amp; Weedon, E. (2015) Children’s rights, school exclusion and alternative educational provision. Retrieved from</w:t>
            </w:r>
          </w:p>
          <w:p w14:paraId="72DB8BF7" w14:textId="4E8E4841" w:rsidR="00211DF8" w:rsidRDefault="00211DF8" w:rsidP="00872478">
            <w:pPr>
              <w:spacing w:after="160" w:line="259" w:lineRule="auto"/>
              <w:rPr>
                <w:rFonts w:ascii="Cambria" w:hAnsi="Cambria" w:cstheme="minorHAnsi"/>
                <w:sz w:val="20"/>
                <w:szCs w:val="20"/>
              </w:rPr>
            </w:pPr>
            <w:hyperlink r:id="rId11" w:history="1">
              <w:r w:rsidRPr="006D3C37">
                <w:rPr>
                  <w:rStyle w:val="Hyperlink"/>
                  <w:rFonts w:ascii="Cambria" w:hAnsi="Cambria" w:cstheme="minorHAnsi"/>
                  <w:sz w:val="20"/>
                  <w:szCs w:val="20"/>
                </w:rPr>
                <w:t>https://www.tandfonline.</w:t>
              </w:r>
              <w:r w:rsidRPr="006D3C37">
                <w:rPr>
                  <w:rStyle w:val="Hyperlink"/>
                  <w:rFonts w:ascii="Cambria" w:hAnsi="Cambria" w:cstheme="minorHAnsi"/>
                  <w:sz w:val="20"/>
                  <w:szCs w:val="20"/>
                </w:rPr>
                <w:t>c</w:t>
              </w:r>
              <w:r w:rsidRPr="006D3C37">
                <w:rPr>
                  <w:rStyle w:val="Hyperlink"/>
                  <w:rFonts w:ascii="Cambria" w:hAnsi="Cambria" w:cstheme="minorHAnsi"/>
                  <w:sz w:val="20"/>
                  <w:szCs w:val="20"/>
                </w:rPr>
                <w:t>om/doi/epdf/10.1080/13603116.2014.961677?needAccess=true&amp;role=button</w:t>
              </w:r>
            </w:hyperlink>
          </w:p>
          <w:p w14:paraId="31CECB8D" w14:textId="77777777" w:rsidR="00211DF8" w:rsidRPr="00211DF8" w:rsidRDefault="00211DF8" w:rsidP="00872478">
            <w:pPr>
              <w:spacing w:after="160" w:line="259" w:lineRule="auto"/>
              <w:rPr>
                <w:rFonts w:ascii="Cambria" w:hAnsi="Cambria" w:cstheme="minorHAnsi"/>
                <w:sz w:val="20"/>
                <w:szCs w:val="20"/>
              </w:rPr>
            </w:pPr>
          </w:p>
          <w:p w14:paraId="6071F449" w14:textId="5FE2A1A1" w:rsidR="00872478" w:rsidRPr="00E02523" w:rsidRDefault="00211DF8" w:rsidP="00211DF8">
            <w:pPr>
              <w:spacing w:after="160" w:line="259" w:lineRule="auto"/>
              <w:rPr>
                <w:color w:val="0000FF"/>
                <w:sz w:val="20"/>
                <w:szCs w:val="20"/>
              </w:rPr>
            </w:pPr>
            <w:r w:rsidRPr="00211DF8">
              <w:rPr>
                <w:rFonts w:ascii="Cambria" w:hAnsi="Cambria" w:cstheme="minorHAnsi"/>
                <w:sz w:val="20"/>
                <w:szCs w:val="20"/>
              </w:rPr>
              <w:t xml:space="preserve"> </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BDF1708" w14:textId="04499CF3" w:rsidR="003A04BF" w:rsidRDefault="00256FA8" w:rsidP="004D1B62">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This website covers the basics of alternative </w:t>
            </w:r>
            <w:proofErr w:type="gramStart"/>
            <w:r>
              <w:rPr>
                <w:rFonts w:ascii="Georgia" w:hAnsi="Georgia" w:cs="Calibri"/>
                <w:color w:val="201F1E"/>
              </w:rPr>
              <w:t>provision</w:t>
            </w:r>
            <w:proofErr w:type="gramEnd"/>
          </w:p>
          <w:p w14:paraId="2B14E0D8"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08CB97BA"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308B393C" w14:textId="770A2C6C" w:rsidR="00256FA8" w:rsidRDefault="00256FA8" w:rsidP="004D1B62">
            <w:pPr>
              <w:pStyle w:val="xmsolistparagraph"/>
              <w:shd w:val="clear" w:color="auto" w:fill="FFFFFF"/>
              <w:spacing w:before="0" w:beforeAutospacing="0" w:after="0" w:afterAutospacing="0"/>
              <w:rPr>
                <w:rFonts w:ascii="Georgia" w:hAnsi="Georgia" w:cs="Calibri"/>
                <w:color w:val="201F1E"/>
              </w:rPr>
            </w:pPr>
            <w:hyperlink r:id="rId13" w:history="1">
              <w:r w:rsidRPr="006D3C37">
                <w:rPr>
                  <w:rStyle w:val="Hyperlink"/>
                  <w:rFonts w:ascii="Georgia" w:hAnsi="Georgia" w:cs="Calibri"/>
                </w:rPr>
                <w:t>https://www.theschoolrun.com/what-alternative-provision</w:t>
              </w:r>
            </w:hyperlink>
          </w:p>
          <w:p w14:paraId="2AC6723B"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320729FC"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19B4454F"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593C9046"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249D2299"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615774FF"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1FA9CC55" w14:textId="77777777" w:rsidR="00256FA8" w:rsidRDefault="00256FA8" w:rsidP="004D1B62">
            <w:pPr>
              <w:pStyle w:val="xmsolistparagraph"/>
              <w:shd w:val="clear" w:color="auto" w:fill="FFFFFF"/>
              <w:spacing w:before="0" w:beforeAutospacing="0" w:after="0" w:afterAutospacing="0"/>
              <w:rPr>
                <w:rFonts w:ascii="Georgia" w:hAnsi="Georgia" w:cs="Calibri"/>
                <w:color w:val="201F1E"/>
              </w:rPr>
            </w:pPr>
          </w:p>
          <w:p w14:paraId="4420E875" w14:textId="77777777" w:rsidR="00615BB7" w:rsidRDefault="00615BB7"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7F001A"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7F001A"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F9368D4" w14:textId="77777777" w:rsidR="00C71D7C" w:rsidRDefault="00C71D7C" w:rsidP="00810CFD">
            <w:pPr>
              <w:pStyle w:val="Default"/>
              <w:rPr>
                <w:rFonts w:ascii="Cambria" w:hAnsi="Cambria"/>
                <w:b/>
                <w:bCs/>
                <w:sz w:val="20"/>
                <w:szCs w:val="20"/>
                <w:shd w:val="clear" w:color="auto" w:fill="FFFFFF"/>
              </w:rPr>
            </w:pPr>
          </w:p>
          <w:p w14:paraId="3816F2FA" w14:textId="77777777" w:rsidR="00211DF8" w:rsidRPr="00211DF8" w:rsidRDefault="00211DF8" w:rsidP="00211DF8">
            <w:pPr>
              <w:pStyle w:val="Default"/>
              <w:numPr>
                <w:ilvl w:val="0"/>
                <w:numId w:val="15"/>
              </w:numPr>
              <w:rPr>
                <w:rFonts w:ascii="Cambria" w:hAnsi="Cambria"/>
                <w:sz w:val="20"/>
                <w:szCs w:val="20"/>
                <w:shd w:val="clear" w:color="auto" w:fill="FFFFFF"/>
              </w:rPr>
            </w:pPr>
            <w:r w:rsidRPr="00211DF8">
              <w:rPr>
                <w:rFonts w:ascii="Cambria" w:hAnsi="Cambria"/>
                <w:sz w:val="20"/>
                <w:szCs w:val="20"/>
                <w:shd w:val="clear" w:color="auto" w:fill="FFFFFF"/>
              </w:rPr>
              <w:t>Alternative provision exists to support students whose needs cannot be met by mainstream education.</w:t>
            </w:r>
          </w:p>
          <w:p w14:paraId="0A124DA8" w14:textId="77777777" w:rsidR="00211DF8" w:rsidRPr="00211DF8" w:rsidRDefault="00211DF8" w:rsidP="00211DF8">
            <w:pPr>
              <w:pStyle w:val="Default"/>
              <w:ind w:left="360"/>
              <w:rPr>
                <w:rFonts w:ascii="Cambria" w:hAnsi="Cambria"/>
                <w:sz w:val="20"/>
                <w:szCs w:val="20"/>
                <w:shd w:val="clear" w:color="auto" w:fill="FFFFFF"/>
              </w:rPr>
            </w:pPr>
          </w:p>
          <w:p w14:paraId="7806431E" w14:textId="77777777" w:rsidR="00810CFD" w:rsidRPr="00211DF8" w:rsidRDefault="00211DF8" w:rsidP="00211DF8">
            <w:pPr>
              <w:pStyle w:val="Default"/>
              <w:numPr>
                <w:ilvl w:val="0"/>
                <w:numId w:val="15"/>
              </w:numPr>
              <w:rPr>
                <w:rFonts w:ascii="Cambria" w:hAnsi="Cambria"/>
                <w:sz w:val="20"/>
                <w:szCs w:val="20"/>
                <w:shd w:val="clear" w:color="auto" w:fill="FFFFFF"/>
              </w:rPr>
            </w:pPr>
            <w:r w:rsidRPr="00211DF8">
              <w:rPr>
                <w:rFonts w:ascii="Cambria" w:hAnsi="Cambria"/>
                <w:sz w:val="20"/>
                <w:szCs w:val="20"/>
                <w:shd w:val="clear" w:color="auto" w:fill="FFFFFF"/>
              </w:rPr>
              <w:t>There are a variety of alternative provision settings that provide bespoke support for varying needs.</w:t>
            </w:r>
          </w:p>
          <w:p w14:paraId="2349BFED" w14:textId="77777777" w:rsidR="00211DF8" w:rsidRDefault="00211DF8" w:rsidP="00211DF8">
            <w:pPr>
              <w:pStyle w:val="ListParagraph"/>
              <w:rPr>
                <w:rFonts w:ascii="Cambria" w:hAnsi="Cambria"/>
                <w:b/>
                <w:bCs/>
                <w:sz w:val="20"/>
                <w:szCs w:val="20"/>
                <w:shd w:val="clear" w:color="auto" w:fill="FFFFFF"/>
              </w:rPr>
            </w:pPr>
          </w:p>
          <w:p w14:paraId="4E488AE5" w14:textId="54F1BC91" w:rsidR="00211DF8" w:rsidRPr="00523D39" w:rsidRDefault="00211DF8" w:rsidP="00211DF8">
            <w:pPr>
              <w:pStyle w:val="Default"/>
              <w:ind w:left="720"/>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7F001A"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7F001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72364DC" w14:textId="77777777" w:rsidR="00C71D7C" w:rsidRPr="00C71D7C" w:rsidRDefault="00C71D7C" w:rsidP="00C71D7C">
            <w:pPr>
              <w:rPr>
                <w:rFonts w:ascii="Cambria" w:hAnsi="Cambria"/>
                <w:sz w:val="20"/>
                <w:szCs w:val="20"/>
              </w:rPr>
            </w:pPr>
          </w:p>
          <w:p w14:paraId="7BD677D2" w14:textId="77777777" w:rsidR="00211DF8" w:rsidRDefault="00211DF8" w:rsidP="00211DF8">
            <w:pPr>
              <w:pStyle w:val="ListParagraph"/>
              <w:numPr>
                <w:ilvl w:val="0"/>
                <w:numId w:val="14"/>
              </w:numPr>
              <w:rPr>
                <w:rFonts w:ascii="Cambria" w:hAnsi="Cambria"/>
                <w:sz w:val="20"/>
                <w:szCs w:val="20"/>
              </w:rPr>
            </w:pPr>
            <w:r w:rsidRPr="00211DF8">
              <w:rPr>
                <w:rFonts w:ascii="Cambria" w:hAnsi="Cambria"/>
                <w:sz w:val="20"/>
                <w:szCs w:val="20"/>
              </w:rPr>
              <w:t>Identify the reasons resulting in alternative provision for student whose needs are often complex.</w:t>
            </w:r>
          </w:p>
          <w:p w14:paraId="336D4BD1" w14:textId="77777777" w:rsidR="00211DF8" w:rsidRPr="00211DF8" w:rsidRDefault="00211DF8" w:rsidP="00211DF8">
            <w:pPr>
              <w:pStyle w:val="ListParagraph"/>
              <w:spacing w:after="0" w:line="240" w:lineRule="auto"/>
              <w:rPr>
                <w:rFonts w:ascii="Cambria" w:hAnsi="Cambria"/>
                <w:sz w:val="20"/>
                <w:szCs w:val="20"/>
              </w:rPr>
            </w:pPr>
          </w:p>
          <w:p w14:paraId="3437E904" w14:textId="30A5BC36" w:rsidR="000F296B" w:rsidRPr="000F296B" w:rsidRDefault="00211DF8" w:rsidP="00211DF8">
            <w:pPr>
              <w:pStyle w:val="ListParagraph"/>
              <w:numPr>
                <w:ilvl w:val="0"/>
                <w:numId w:val="14"/>
              </w:numPr>
              <w:rPr>
                <w:rFonts w:ascii="Cambria" w:hAnsi="Cambria"/>
                <w:b/>
                <w:bCs/>
                <w:sz w:val="20"/>
                <w:szCs w:val="20"/>
              </w:rPr>
            </w:pPr>
            <w:r w:rsidRPr="00211DF8">
              <w:rPr>
                <w:rFonts w:ascii="Cambria" w:hAnsi="Cambria"/>
                <w:sz w:val="20"/>
                <w:szCs w:val="20"/>
              </w:rPr>
              <w:t>Recognise the varying types of alternative provision and the challenges faced by professionals working within these settings</w:t>
            </w:r>
            <w:r w:rsidRPr="00211DF8">
              <w:rPr>
                <w:rFonts w:ascii="Cambria" w:hAnsi="Cambria"/>
                <w:b/>
                <w:bCs/>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4BA011F" w14:textId="5FF6262B" w:rsidR="00EA7A61" w:rsidRPr="00EA7A61" w:rsidRDefault="00B5000E" w:rsidP="00EA7A61">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211DF8">
              <w:rPr>
                <w:rFonts w:ascii="Cambria" w:hAnsi="Cambria"/>
                <w:b/>
                <w:bCs/>
                <w:sz w:val="20"/>
                <w:szCs w:val="20"/>
              </w:rPr>
              <w:t xml:space="preserve"> </w:t>
            </w:r>
            <w:r w:rsidR="00211DF8" w:rsidRPr="00211DF8">
              <w:rPr>
                <w:rFonts w:ascii="Cambria" w:hAnsi="Cambria"/>
                <w:sz w:val="20"/>
                <w:szCs w:val="20"/>
              </w:rPr>
              <w:t>Should the aim always be to keep students within mainstream education?</w:t>
            </w:r>
          </w:p>
          <w:p w14:paraId="6A09A617" w14:textId="1AF2F948" w:rsidR="00032784" w:rsidRPr="00032784" w:rsidRDefault="00032784" w:rsidP="00032784">
            <w:pPr>
              <w:pBdr>
                <w:top w:val="nil"/>
                <w:left w:val="nil"/>
                <w:bottom w:val="nil"/>
                <w:right w:val="nil"/>
                <w:between w:val="nil"/>
              </w:pBdr>
              <w:jc w:val="both"/>
              <w:rPr>
                <w:rFonts w:ascii="Cambria" w:hAnsi="Cambria"/>
                <w:b/>
                <w:bCs/>
                <w:sz w:val="20"/>
                <w:szCs w:val="20"/>
              </w:rPr>
            </w:pPr>
          </w:p>
          <w:p w14:paraId="7779B294" w14:textId="6EC28318" w:rsidR="006B0AB6" w:rsidRPr="00550C65" w:rsidRDefault="006B0AB6" w:rsidP="00550C65">
            <w:pPr>
              <w:pStyle w:val="Default"/>
              <w:jc w:val="both"/>
              <w:rPr>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3C230598" w14:textId="77777777" w:rsidR="00872478" w:rsidRDefault="00872478" w:rsidP="00B5000E">
            <w:pPr>
              <w:pBdr>
                <w:top w:val="nil"/>
                <w:left w:val="nil"/>
                <w:bottom w:val="nil"/>
                <w:right w:val="nil"/>
                <w:between w:val="nil"/>
              </w:pBdr>
              <w:jc w:val="both"/>
              <w:rPr>
                <w:rFonts w:ascii="Cambria" w:hAnsi="Cambria"/>
                <w:b/>
                <w:bCs/>
                <w:sz w:val="20"/>
                <w:szCs w:val="20"/>
              </w:rPr>
            </w:pPr>
          </w:p>
          <w:p w14:paraId="0DDA1DD7" w14:textId="77777777" w:rsidR="00872478" w:rsidRDefault="00872478"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DA3C8A">
            <w:pPr>
              <w:pBdr>
                <w:top w:val="nil"/>
                <w:left w:val="nil"/>
                <w:bottom w:val="nil"/>
                <w:right w:val="nil"/>
                <w:between w:val="nil"/>
              </w:pBdr>
              <w:jc w:val="both"/>
              <w:rPr>
                <w:rFonts w:ascii="Cambria" w:hAnsi="Cambria"/>
                <w:b/>
                <w:bCs/>
                <w:sz w:val="20"/>
                <w:szCs w:val="20"/>
              </w:rPr>
            </w:pPr>
          </w:p>
          <w:p w14:paraId="4FE5885D" w14:textId="6D06E988" w:rsidR="00EA7A61" w:rsidRPr="00EA7A61" w:rsidRDefault="00B5000E" w:rsidP="00EA7A61">
            <w:pPr>
              <w:pBdr>
                <w:top w:val="nil"/>
                <w:left w:val="nil"/>
                <w:bottom w:val="nil"/>
                <w:right w:val="nil"/>
                <w:between w:val="nil"/>
              </w:pBdr>
              <w:jc w:val="both"/>
              <w:rPr>
                <w:rFonts w:ascii="Cambria" w:hAnsi="Cambria"/>
                <w:b/>
                <w:bCs/>
                <w:i/>
                <w:iCs/>
                <w:sz w:val="20"/>
                <w:szCs w:val="20"/>
              </w:rPr>
            </w:pPr>
            <w:r w:rsidRPr="00523D39">
              <w:rPr>
                <w:rFonts w:ascii="Cambria" w:hAnsi="Cambria"/>
                <w:b/>
                <w:bCs/>
                <w:sz w:val="20"/>
                <w:szCs w:val="20"/>
              </w:rPr>
              <w:t>Q2:</w:t>
            </w:r>
            <w:r w:rsidR="006B0AB6">
              <w:rPr>
                <w:rFonts w:ascii="Cambria" w:hAnsi="Cambria"/>
                <w:b/>
                <w:bCs/>
                <w:sz w:val="20"/>
                <w:szCs w:val="20"/>
              </w:rPr>
              <w:t xml:space="preserve"> </w:t>
            </w:r>
            <w:r w:rsidR="009E4201">
              <w:t xml:space="preserve"> </w:t>
            </w:r>
            <w:r w:rsidR="00211DF8" w:rsidRPr="00211DF8">
              <w:t>Critically reflect upon the importance of alternative provision within the education system.</w:t>
            </w:r>
          </w:p>
          <w:p w14:paraId="3AEDB71F" w14:textId="6EA6D255" w:rsidR="00B5000E" w:rsidRDefault="00B5000E" w:rsidP="00B5000E">
            <w:pPr>
              <w:pBdr>
                <w:top w:val="nil"/>
                <w:left w:val="nil"/>
                <w:bottom w:val="nil"/>
                <w:right w:val="nil"/>
                <w:between w:val="nil"/>
              </w:pBdr>
              <w:jc w:val="both"/>
              <w:rPr>
                <w:rFonts w:ascii="Cambria" w:hAnsi="Cambria"/>
                <w:b/>
                <w:bCs/>
                <w:sz w:val="20"/>
                <w:szCs w:val="20"/>
              </w:rPr>
            </w:pP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09D896" w14:textId="77777777" w:rsidR="006B0AB6" w:rsidRDefault="006B0AB6" w:rsidP="00DA3C8A">
            <w:pPr>
              <w:pBdr>
                <w:top w:val="nil"/>
                <w:left w:val="nil"/>
                <w:bottom w:val="nil"/>
                <w:right w:val="nil"/>
                <w:between w:val="nil"/>
              </w:pBdr>
              <w:jc w:val="both"/>
              <w:rPr>
                <w:rFonts w:ascii="Cambria" w:hAnsi="Cambria"/>
                <w:b/>
                <w:bCs/>
                <w:sz w:val="20"/>
                <w:szCs w:val="20"/>
              </w:rPr>
            </w:pPr>
          </w:p>
          <w:p w14:paraId="4514552D" w14:textId="77777777" w:rsidR="00810CFD" w:rsidRDefault="00810CFD" w:rsidP="00DA3C8A">
            <w:pPr>
              <w:pBdr>
                <w:top w:val="nil"/>
                <w:left w:val="nil"/>
                <w:bottom w:val="nil"/>
                <w:right w:val="nil"/>
                <w:between w:val="nil"/>
              </w:pBdr>
              <w:jc w:val="both"/>
              <w:rPr>
                <w:rFonts w:ascii="Cambria" w:hAnsi="Cambria"/>
                <w:b/>
                <w:bCs/>
                <w:sz w:val="20"/>
                <w:szCs w:val="20"/>
              </w:rPr>
            </w:pPr>
          </w:p>
          <w:p w14:paraId="021E5346" w14:textId="77777777" w:rsidR="00810CFD" w:rsidRPr="00523D39" w:rsidRDefault="00810CFD" w:rsidP="00DA3C8A">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72DFF81" w14:textId="77777777" w:rsidR="00C663BC"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p w14:paraId="7A6DC59F" w14:textId="77777777" w:rsidR="0027042C"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p>
          <w:p w14:paraId="79CD1FEE" w14:textId="77E36052" w:rsidR="0027042C" w:rsidRPr="00523D39"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r w:rsidRPr="0027042C">
              <w:rPr>
                <w:rFonts w:ascii="Cambria" w:hAnsi="Cambria" w:cs="Calibri"/>
                <w:b/>
                <w:bCs/>
                <w:color w:val="201F1E"/>
                <w:sz w:val="20"/>
                <w:szCs w:val="20"/>
                <w:u w:val="single"/>
              </w:rPr>
              <w:t>YES</w:t>
            </w:r>
            <w:r>
              <w:rPr>
                <w:rFonts w:ascii="Cambria" w:hAnsi="Cambria" w:cs="Calibri"/>
                <w:color w:val="201F1E"/>
                <w:sz w:val="20"/>
                <w:szCs w:val="20"/>
              </w:rPr>
              <w:t>/NO</w:t>
            </w:r>
          </w:p>
        </w:tc>
      </w:tr>
      <w:tr w:rsidR="007F001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7F001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7F001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7F001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7E13CD">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B2F3" w14:textId="77777777" w:rsidR="007E13CD" w:rsidRDefault="007E13CD" w:rsidP="00BB0205">
      <w:pPr>
        <w:spacing w:after="0" w:line="240" w:lineRule="auto"/>
      </w:pPr>
      <w:r>
        <w:separator/>
      </w:r>
    </w:p>
  </w:endnote>
  <w:endnote w:type="continuationSeparator" w:id="0">
    <w:p w14:paraId="3F628365" w14:textId="77777777" w:rsidR="007E13CD" w:rsidRDefault="007E13CD"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818C" w14:textId="77777777" w:rsidR="007E13CD" w:rsidRDefault="007E13CD" w:rsidP="00BB0205">
      <w:pPr>
        <w:spacing w:after="0" w:line="240" w:lineRule="auto"/>
      </w:pPr>
      <w:r>
        <w:separator/>
      </w:r>
    </w:p>
  </w:footnote>
  <w:footnote w:type="continuationSeparator" w:id="0">
    <w:p w14:paraId="0F3A81BD" w14:textId="77777777" w:rsidR="007E13CD" w:rsidRDefault="007E13CD"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8E1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F7C93"/>
    <w:multiLevelType w:val="hybridMultilevel"/>
    <w:tmpl w:val="557A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BF21F3"/>
    <w:multiLevelType w:val="hybridMultilevel"/>
    <w:tmpl w:val="7BA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0199E"/>
    <w:multiLevelType w:val="hybridMultilevel"/>
    <w:tmpl w:val="1FF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30BB3"/>
    <w:multiLevelType w:val="hybridMultilevel"/>
    <w:tmpl w:val="FB5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4DB8"/>
    <w:multiLevelType w:val="hybridMultilevel"/>
    <w:tmpl w:val="65A4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AB7EFA"/>
    <w:multiLevelType w:val="hybridMultilevel"/>
    <w:tmpl w:val="AFCC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C7A4D"/>
    <w:multiLevelType w:val="hybridMultilevel"/>
    <w:tmpl w:val="88E2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F10AC"/>
    <w:multiLevelType w:val="hybridMultilevel"/>
    <w:tmpl w:val="D0281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7565B3"/>
    <w:multiLevelType w:val="hybridMultilevel"/>
    <w:tmpl w:val="58F8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9A5414"/>
    <w:multiLevelType w:val="hybridMultilevel"/>
    <w:tmpl w:val="17BE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14"/>
  </w:num>
  <w:num w:numId="2" w16cid:durableId="745959156">
    <w:abstractNumId w:val="9"/>
  </w:num>
  <w:num w:numId="3" w16cid:durableId="365060952">
    <w:abstractNumId w:val="4"/>
  </w:num>
  <w:num w:numId="4" w16cid:durableId="970749666">
    <w:abstractNumId w:val="1"/>
  </w:num>
  <w:num w:numId="5" w16cid:durableId="725759696">
    <w:abstractNumId w:val="0"/>
  </w:num>
  <w:num w:numId="6" w16cid:durableId="955520255">
    <w:abstractNumId w:val="5"/>
  </w:num>
  <w:num w:numId="7" w16cid:durableId="1717655452">
    <w:abstractNumId w:val="6"/>
  </w:num>
  <w:num w:numId="8" w16cid:durableId="1834712070">
    <w:abstractNumId w:val="8"/>
  </w:num>
  <w:num w:numId="9" w16cid:durableId="809253834">
    <w:abstractNumId w:val="15"/>
  </w:num>
  <w:num w:numId="10" w16cid:durableId="1637179490">
    <w:abstractNumId w:val="13"/>
  </w:num>
  <w:num w:numId="11" w16cid:durableId="2090535734">
    <w:abstractNumId w:val="12"/>
  </w:num>
  <w:num w:numId="12" w16cid:durableId="900140546">
    <w:abstractNumId w:val="3"/>
  </w:num>
  <w:num w:numId="13" w16cid:durableId="1491750053">
    <w:abstractNumId w:val="2"/>
  </w:num>
  <w:num w:numId="14" w16cid:durableId="858857521">
    <w:abstractNumId w:val="7"/>
  </w:num>
  <w:num w:numId="15" w16cid:durableId="492454807">
    <w:abstractNumId w:val="11"/>
  </w:num>
  <w:num w:numId="16" w16cid:durableId="163814799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2784"/>
    <w:rsid w:val="000467DF"/>
    <w:rsid w:val="000A4500"/>
    <w:rsid w:val="000C0420"/>
    <w:rsid w:val="000D2747"/>
    <w:rsid w:val="000D5631"/>
    <w:rsid w:val="000D6922"/>
    <w:rsid w:val="000F296B"/>
    <w:rsid w:val="000F7F57"/>
    <w:rsid w:val="00117437"/>
    <w:rsid w:val="00122473"/>
    <w:rsid w:val="00132F3C"/>
    <w:rsid w:val="001436B1"/>
    <w:rsid w:val="001506CA"/>
    <w:rsid w:val="00157999"/>
    <w:rsid w:val="00164C19"/>
    <w:rsid w:val="00166757"/>
    <w:rsid w:val="00187942"/>
    <w:rsid w:val="00193244"/>
    <w:rsid w:val="001A090B"/>
    <w:rsid w:val="001B0667"/>
    <w:rsid w:val="001B46A9"/>
    <w:rsid w:val="001B5C6F"/>
    <w:rsid w:val="001B5DFB"/>
    <w:rsid w:val="001E5B59"/>
    <w:rsid w:val="001F2CB3"/>
    <w:rsid w:val="001F5BE1"/>
    <w:rsid w:val="0020392C"/>
    <w:rsid w:val="00203B1D"/>
    <w:rsid w:val="002048B7"/>
    <w:rsid w:val="002077E7"/>
    <w:rsid w:val="00211DF8"/>
    <w:rsid w:val="00216C53"/>
    <w:rsid w:val="002176C6"/>
    <w:rsid w:val="002402B7"/>
    <w:rsid w:val="00244BD5"/>
    <w:rsid w:val="00256FA8"/>
    <w:rsid w:val="00257C5E"/>
    <w:rsid w:val="0026278D"/>
    <w:rsid w:val="00267F20"/>
    <w:rsid w:val="0027042C"/>
    <w:rsid w:val="00275428"/>
    <w:rsid w:val="00275519"/>
    <w:rsid w:val="00284E41"/>
    <w:rsid w:val="00290A87"/>
    <w:rsid w:val="002945B0"/>
    <w:rsid w:val="002C6982"/>
    <w:rsid w:val="002D6840"/>
    <w:rsid w:val="002D71BC"/>
    <w:rsid w:val="002F0646"/>
    <w:rsid w:val="003324D5"/>
    <w:rsid w:val="00341E44"/>
    <w:rsid w:val="003433DA"/>
    <w:rsid w:val="003558A2"/>
    <w:rsid w:val="00360B99"/>
    <w:rsid w:val="00360FDF"/>
    <w:rsid w:val="00362E65"/>
    <w:rsid w:val="0036642F"/>
    <w:rsid w:val="00387F4F"/>
    <w:rsid w:val="00393C9C"/>
    <w:rsid w:val="00395BFE"/>
    <w:rsid w:val="003A04BF"/>
    <w:rsid w:val="003C0614"/>
    <w:rsid w:val="003C1D2B"/>
    <w:rsid w:val="003E7131"/>
    <w:rsid w:val="003F297E"/>
    <w:rsid w:val="004009A7"/>
    <w:rsid w:val="00402356"/>
    <w:rsid w:val="00403E3F"/>
    <w:rsid w:val="00446426"/>
    <w:rsid w:val="004475B3"/>
    <w:rsid w:val="00454F71"/>
    <w:rsid w:val="00464034"/>
    <w:rsid w:val="00466068"/>
    <w:rsid w:val="00470596"/>
    <w:rsid w:val="00485777"/>
    <w:rsid w:val="004933A3"/>
    <w:rsid w:val="004A0E13"/>
    <w:rsid w:val="004B4EBE"/>
    <w:rsid w:val="004C3CDB"/>
    <w:rsid w:val="004D1B62"/>
    <w:rsid w:val="004F5A59"/>
    <w:rsid w:val="005031C0"/>
    <w:rsid w:val="005061DF"/>
    <w:rsid w:val="005107CA"/>
    <w:rsid w:val="005113AE"/>
    <w:rsid w:val="005120DA"/>
    <w:rsid w:val="00523D39"/>
    <w:rsid w:val="00532449"/>
    <w:rsid w:val="00542102"/>
    <w:rsid w:val="005479C5"/>
    <w:rsid w:val="005502E1"/>
    <w:rsid w:val="00550C65"/>
    <w:rsid w:val="005511A4"/>
    <w:rsid w:val="005532B5"/>
    <w:rsid w:val="00553CE4"/>
    <w:rsid w:val="00554743"/>
    <w:rsid w:val="00556F37"/>
    <w:rsid w:val="00560FE2"/>
    <w:rsid w:val="0057496A"/>
    <w:rsid w:val="005775AE"/>
    <w:rsid w:val="00580D88"/>
    <w:rsid w:val="00586ACC"/>
    <w:rsid w:val="00593924"/>
    <w:rsid w:val="005A6715"/>
    <w:rsid w:val="005B4FD8"/>
    <w:rsid w:val="005C4629"/>
    <w:rsid w:val="005C4DE7"/>
    <w:rsid w:val="005E244C"/>
    <w:rsid w:val="005F3947"/>
    <w:rsid w:val="005F5A1C"/>
    <w:rsid w:val="00606867"/>
    <w:rsid w:val="006102D0"/>
    <w:rsid w:val="006112AB"/>
    <w:rsid w:val="006135EC"/>
    <w:rsid w:val="00615BB7"/>
    <w:rsid w:val="00624699"/>
    <w:rsid w:val="00630263"/>
    <w:rsid w:val="00631D4B"/>
    <w:rsid w:val="00637553"/>
    <w:rsid w:val="00645D9A"/>
    <w:rsid w:val="006466C4"/>
    <w:rsid w:val="0064731C"/>
    <w:rsid w:val="00650A8F"/>
    <w:rsid w:val="00663D4E"/>
    <w:rsid w:val="00690414"/>
    <w:rsid w:val="00690AD3"/>
    <w:rsid w:val="00690DB7"/>
    <w:rsid w:val="006928B6"/>
    <w:rsid w:val="006A2DCB"/>
    <w:rsid w:val="006A777B"/>
    <w:rsid w:val="006B0AB6"/>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A120D"/>
    <w:rsid w:val="007B1A2C"/>
    <w:rsid w:val="007B4199"/>
    <w:rsid w:val="007C2932"/>
    <w:rsid w:val="007C3C4C"/>
    <w:rsid w:val="007C66A6"/>
    <w:rsid w:val="007D2AA4"/>
    <w:rsid w:val="007E13CD"/>
    <w:rsid w:val="007E2240"/>
    <w:rsid w:val="007E3BF9"/>
    <w:rsid w:val="007F001A"/>
    <w:rsid w:val="00800444"/>
    <w:rsid w:val="00810CFD"/>
    <w:rsid w:val="008151B0"/>
    <w:rsid w:val="008235B7"/>
    <w:rsid w:val="00826A63"/>
    <w:rsid w:val="00852211"/>
    <w:rsid w:val="00854B4E"/>
    <w:rsid w:val="00866227"/>
    <w:rsid w:val="008675C2"/>
    <w:rsid w:val="00872478"/>
    <w:rsid w:val="00876843"/>
    <w:rsid w:val="00894394"/>
    <w:rsid w:val="008A2890"/>
    <w:rsid w:val="008A3736"/>
    <w:rsid w:val="008A6127"/>
    <w:rsid w:val="008A67D8"/>
    <w:rsid w:val="008B1D2B"/>
    <w:rsid w:val="008C5CA6"/>
    <w:rsid w:val="008C6ED4"/>
    <w:rsid w:val="008D261C"/>
    <w:rsid w:val="008D6C75"/>
    <w:rsid w:val="008E15AD"/>
    <w:rsid w:val="008E4B82"/>
    <w:rsid w:val="00904801"/>
    <w:rsid w:val="00916EC7"/>
    <w:rsid w:val="00921093"/>
    <w:rsid w:val="00923CC5"/>
    <w:rsid w:val="009404E7"/>
    <w:rsid w:val="00943673"/>
    <w:rsid w:val="00945A5D"/>
    <w:rsid w:val="009461D9"/>
    <w:rsid w:val="009606AB"/>
    <w:rsid w:val="0096319B"/>
    <w:rsid w:val="00965CE6"/>
    <w:rsid w:val="00966A4C"/>
    <w:rsid w:val="00970EA0"/>
    <w:rsid w:val="009879A9"/>
    <w:rsid w:val="009A5B5A"/>
    <w:rsid w:val="009B3121"/>
    <w:rsid w:val="009B6144"/>
    <w:rsid w:val="009C79B8"/>
    <w:rsid w:val="009D30D2"/>
    <w:rsid w:val="009E4201"/>
    <w:rsid w:val="00A00F62"/>
    <w:rsid w:val="00A166D0"/>
    <w:rsid w:val="00A27B4C"/>
    <w:rsid w:val="00A36B06"/>
    <w:rsid w:val="00A45924"/>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21622"/>
    <w:rsid w:val="00B5000E"/>
    <w:rsid w:val="00B71FAE"/>
    <w:rsid w:val="00B75F73"/>
    <w:rsid w:val="00B8188E"/>
    <w:rsid w:val="00B92274"/>
    <w:rsid w:val="00B951A4"/>
    <w:rsid w:val="00BA06A2"/>
    <w:rsid w:val="00BA12BC"/>
    <w:rsid w:val="00BA3E39"/>
    <w:rsid w:val="00BB0205"/>
    <w:rsid w:val="00BC2D67"/>
    <w:rsid w:val="00BF017F"/>
    <w:rsid w:val="00BF1357"/>
    <w:rsid w:val="00BF6FA3"/>
    <w:rsid w:val="00C15D55"/>
    <w:rsid w:val="00C168A4"/>
    <w:rsid w:val="00C463A4"/>
    <w:rsid w:val="00C60438"/>
    <w:rsid w:val="00C663BC"/>
    <w:rsid w:val="00C67B8B"/>
    <w:rsid w:val="00C714FE"/>
    <w:rsid w:val="00C71D7C"/>
    <w:rsid w:val="00C82FE6"/>
    <w:rsid w:val="00C93F96"/>
    <w:rsid w:val="00C95C29"/>
    <w:rsid w:val="00C97785"/>
    <w:rsid w:val="00CA07FC"/>
    <w:rsid w:val="00CB44DE"/>
    <w:rsid w:val="00CC1496"/>
    <w:rsid w:val="00CC5EA8"/>
    <w:rsid w:val="00CD4364"/>
    <w:rsid w:val="00CD75DC"/>
    <w:rsid w:val="00CE7529"/>
    <w:rsid w:val="00D105DF"/>
    <w:rsid w:val="00D12C87"/>
    <w:rsid w:val="00D26EEE"/>
    <w:rsid w:val="00D67B11"/>
    <w:rsid w:val="00D7386B"/>
    <w:rsid w:val="00D8211D"/>
    <w:rsid w:val="00D83746"/>
    <w:rsid w:val="00D852D6"/>
    <w:rsid w:val="00D9612E"/>
    <w:rsid w:val="00DA3C8A"/>
    <w:rsid w:val="00DA4C7E"/>
    <w:rsid w:val="00DB4B64"/>
    <w:rsid w:val="00DD5A4F"/>
    <w:rsid w:val="00DF760B"/>
    <w:rsid w:val="00E02523"/>
    <w:rsid w:val="00E22452"/>
    <w:rsid w:val="00E27B26"/>
    <w:rsid w:val="00E4578A"/>
    <w:rsid w:val="00E457EF"/>
    <w:rsid w:val="00E45891"/>
    <w:rsid w:val="00E5003C"/>
    <w:rsid w:val="00E53DAA"/>
    <w:rsid w:val="00E65518"/>
    <w:rsid w:val="00E65DEB"/>
    <w:rsid w:val="00EA77D3"/>
    <w:rsid w:val="00EA7A61"/>
    <w:rsid w:val="00EB1FA3"/>
    <w:rsid w:val="00EE0C18"/>
    <w:rsid w:val="00EE1D6A"/>
    <w:rsid w:val="00EE53F3"/>
    <w:rsid w:val="00EE5A74"/>
    <w:rsid w:val="00EE64A0"/>
    <w:rsid w:val="00EF0AF4"/>
    <w:rsid w:val="00F07217"/>
    <w:rsid w:val="00F27212"/>
    <w:rsid w:val="00F45E23"/>
    <w:rsid w:val="00F47EC2"/>
    <w:rsid w:val="00F52B9A"/>
    <w:rsid w:val="00F55928"/>
    <w:rsid w:val="00F5767B"/>
    <w:rsid w:val="00F64831"/>
    <w:rsid w:val="00F6789C"/>
    <w:rsid w:val="00F77DFE"/>
    <w:rsid w:val="00F82C86"/>
    <w:rsid w:val="00F83B94"/>
    <w:rsid w:val="00F83C7A"/>
    <w:rsid w:val="00F83EAA"/>
    <w:rsid w:val="00FB38FA"/>
    <w:rsid w:val="00FB5206"/>
    <w:rsid w:val="00FC0E49"/>
    <w:rsid w:val="00FD0C65"/>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elementtoproof">
    <w:name w:val="elementtoproof"/>
    <w:basedOn w:val="Normal"/>
    <w:rsid w:val="00810CFD"/>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356735487">
      <w:bodyDiv w:val="1"/>
      <w:marLeft w:val="0"/>
      <w:marRight w:val="0"/>
      <w:marTop w:val="0"/>
      <w:marBottom w:val="0"/>
      <w:divBdr>
        <w:top w:val="none" w:sz="0" w:space="0" w:color="auto"/>
        <w:left w:val="none" w:sz="0" w:space="0" w:color="auto"/>
        <w:bottom w:val="none" w:sz="0" w:space="0" w:color="auto"/>
        <w:right w:val="none" w:sz="0" w:space="0" w:color="auto"/>
      </w:divBdr>
    </w:div>
    <w:div w:id="634608040">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1993218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3556404">
      <w:bodyDiv w:val="1"/>
      <w:marLeft w:val="0"/>
      <w:marRight w:val="0"/>
      <w:marTop w:val="0"/>
      <w:marBottom w:val="0"/>
      <w:divBdr>
        <w:top w:val="none" w:sz="0" w:space="0" w:color="auto"/>
        <w:left w:val="none" w:sz="0" w:space="0" w:color="auto"/>
        <w:bottom w:val="none" w:sz="0" w:space="0" w:color="auto"/>
        <w:right w:val="none" w:sz="0" w:space="0" w:color="auto"/>
      </w:divBdr>
    </w:div>
    <w:div w:id="1539901301">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 w:id="1924293340">
      <w:bodyDiv w:val="1"/>
      <w:marLeft w:val="0"/>
      <w:marRight w:val="0"/>
      <w:marTop w:val="0"/>
      <w:marBottom w:val="0"/>
      <w:divBdr>
        <w:top w:val="none" w:sz="0" w:space="0" w:color="auto"/>
        <w:left w:val="none" w:sz="0" w:space="0" w:color="auto"/>
        <w:bottom w:val="none" w:sz="0" w:space="0" w:color="auto"/>
        <w:right w:val="none" w:sz="0" w:space="0" w:color="auto"/>
      </w:divBdr>
    </w:div>
    <w:div w:id="1954095249">
      <w:bodyDiv w:val="1"/>
      <w:marLeft w:val="0"/>
      <w:marRight w:val="0"/>
      <w:marTop w:val="0"/>
      <w:marBottom w:val="0"/>
      <w:divBdr>
        <w:top w:val="none" w:sz="0" w:space="0" w:color="auto"/>
        <w:left w:val="none" w:sz="0" w:space="0" w:color="auto"/>
        <w:bottom w:val="none" w:sz="0" w:space="0" w:color="auto"/>
        <w:right w:val="none" w:sz="0" w:space="0" w:color="auto"/>
      </w:divBdr>
    </w:div>
    <w:div w:id="2089450632">
      <w:bodyDiv w:val="1"/>
      <w:marLeft w:val="0"/>
      <w:marRight w:val="0"/>
      <w:marTop w:val="0"/>
      <w:marBottom w:val="0"/>
      <w:divBdr>
        <w:top w:val="none" w:sz="0" w:space="0" w:color="auto"/>
        <w:left w:val="none" w:sz="0" w:space="0" w:color="auto"/>
        <w:bottom w:val="none" w:sz="0" w:space="0" w:color="auto"/>
        <w:right w:val="none" w:sz="0" w:space="0" w:color="auto"/>
      </w:divBdr>
    </w:div>
    <w:div w:id="214696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schoolrun.com/what-alternative-provision"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epdf/10.1080/13603116.2014.961677?needAccess=true&amp;role=button"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28</cp:revision>
  <cp:lastPrinted>2023-05-18T14:08:00Z</cp:lastPrinted>
  <dcterms:created xsi:type="dcterms:W3CDTF">2023-06-21T15:25:00Z</dcterms:created>
  <dcterms:modified xsi:type="dcterms:W3CDTF">2024-05-16T14:36:00Z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