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AB22EA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51B87">
              <w:rPr>
                <w:rFonts w:ascii="Cambria" w:eastAsia="Georgia" w:hAnsi="Cambria" w:cs="Georgia"/>
                <w:b/>
                <w:color w:val="FFFFFF" w:themeColor="background1"/>
                <w:sz w:val="20"/>
                <w:szCs w:val="20"/>
              </w:rPr>
              <w:t>36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488E4616"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Year 1</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E4872C7" w:rsidR="004009A7" w:rsidRPr="00523D39" w:rsidRDefault="00CB2BB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9CC3F2A" w:rsidR="004009A7" w:rsidRPr="00523D39" w:rsidRDefault="006E4CBC">
            <w:pPr>
              <w:jc w:val="both"/>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29</w:t>
            </w:r>
            <w:r w:rsidR="0040485F" w:rsidRPr="0040485F">
              <w:rPr>
                <w:rFonts w:ascii="Cambria" w:hAnsi="Cambria"/>
                <w:b/>
                <w:bCs/>
                <w:sz w:val="20"/>
                <w:szCs w:val="20"/>
                <w:vertAlign w:val="superscript"/>
              </w:rPr>
              <w:t>th</w:t>
            </w:r>
            <w:r w:rsidR="0040485F">
              <w:rPr>
                <w:rFonts w:ascii="Cambria" w:hAnsi="Cambria"/>
                <w:b/>
                <w:bCs/>
                <w:sz w:val="20"/>
                <w:szCs w:val="20"/>
              </w:rPr>
              <w:t xml:space="preserve"> April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7EE6E14" w14:textId="77777777" w:rsidR="00351B87" w:rsidRPr="00843B1A" w:rsidRDefault="00351B87" w:rsidP="00351B87">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Summary: </w:t>
            </w:r>
          </w:p>
          <w:p w14:paraId="6101BADF" w14:textId="77777777" w:rsidR="00351B87" w:rsidRPr="00843B1A" w:rsidRDefault="00351B87" w:rsidP="00351B87">
            <w:pPr>
              <w:jc w:val="both"/>
              <w:rPr>
                <w:rFonts w:asciiTheme="minorHAnsi" w:hAnsiTheme="minorHAnsi" w:cstheme="minorHAnsi"/>
                <w:b/>
                <w:bCs/>
                <w:sz w:val="28"/>
                <w:szCs w:val="28"/>
              </w:rPr>
            </w:pPr>
            <w:r w:rsidRPr="00843B1A">
              <w:rPr>
                <w:rFonts w:asciiTheme="minorHAnsi" w:hAnsiTheme="minorHAnsi" w:cstheme="minorHAnsi"/>
                <w:sz w:val="28"/>
                <w:szCs w:val="28"/>
              </w:rPr>
              <w:t xml:space="preserve">The blog suggests that great teaching is built upon great expectations. It suggests that teachers should set high expectations from the </w:t>
            </w:r>
            <w:proofErr w:type="gramStart"/>
            <w:r w:rsidRPr="00843B1A">
              <w:rPr>
                <w:rFonts w:asciiTheme="minorHAnsi" w:hAnsiTheme="minorHAnsi" w:cstheme="minorHAnsi"/>
                <w:sz w:val="28"/>
                <w:szCs w:val="28"/>
              </w:rPr>
              <w:t>outset</w:t>
            </w:r>
            <w:proofErr w:type="gramEnd"/>
            <w:r w:rsidRPr="00843B1A">
              <w:rPr>
                <w:rFonts w:asciiTheme="minorHAnsi" w:hAnsiTheme="minorHAnsi" w:cstheme="minorHAnsi"/>
                <w:sz w:val="28"/>
                <w:szCs w:val="28"/>
              </w:rPr>
              <w:t xml:space="preserve"> and they should continually reinforce these. This includes lessons which have depth, rigorous subject knowledge and challenge, effective questioning, and a clear sense of purpose.</w:t>
            </w:r>
          </w:p>
          <w:p w14:paraId="1A6AF367" w14:textId="77777777" w:rsidR="00351B87" w:rsidRPr="00843B1A" w:rsidRDefault="00351B87" w:rsidP="00351B87">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                          </w:t>
            </w:r>
          </w:p>
          <w:p w14:paraId="14086999" w14:textId="77777777" w:rsidR="00351B87" w:rsidRPr="00843B1A" w:rsidRDefault="00351B87" w:rsidP="00351B87">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Limitations: </w:t>
            </w:r>
          </w:p>
          <w:p w14:paraId="21C7C862" w14:textId="77777777" w:rsidR="00351B87" w:rsidRPr="00843B1A" w:rsidRDefault="00351B87" w:rsidP="00351B87">
            <w:pPr>
              <w:jc w:val="both"/>
              <w:rPr>
                <w:rFonts w:asciiTheme="minorHAnsi" w:hAnsiTheme="minorHAnsi" w:cstheme="minorHAnsi"/>
                <w:sz w:val="28"/>
                <w:szCs w:val="28"/>
              </w:rPr>
            </w:pPr>
            <w:r w:rsidRPr="00843B1A">
              <w:rPr>
                <w:rFonts w:asciiTheme="minorHAnsi" w:hAnsiTheme="minorHAnsi" w:cstheme="minorHAnsi"/>
                <w:sz w:val="28"/>
                <w:szCs w:val="28"/>
              </w:rPr>
              <w:t>This resource does not include any supporting data to support the strategies it suggests. Therefore, it could just be presumed to be Sherrington’s opinion. The blog has also not been reviewed by other experts so again, it has not been subject to scrutiny and should not be accepted as ‘fact’.</w:t>
            </w:r>
          </w:p>
          <w:p w14:paraId="085F1B1E" w14:textId="77777777" w:rsidR="00351B87" w:rsidRPr="00843B1A" w:rsidRDefault="00351B87" w:rsidP="00351B87">
            <w:pPr>
              <w:rPr>
                <w:rFonts w:asciiTheme="minorHAnsi" w:hAnsiTheme="minorHAnsi" w:cstheme="minorHAnsi"/>
                <w:sz w:val="28"/>
                <w:szCs w:val="28"/>
              </w:rPr>
            </w:pPr>
          </w:p>
          <w:p w14:paraId="439FF443" w14:textId="77777777" w:rsidR="00351B87" w:rsidRPr="00843B1A" w:rsidRDefault="00351B87" w:rsidP="00351B87">
            <w:pPr>
              <w:jc w:val="both"/>
              <w:rPr>
                <w:rFonts w:asciiTheme="minorHAnsi" w:hAnsiTheme="minorHAnsi" w:cstheme="minorHAnsi"/>
                <w:b/>
                <w:bCs/>
              </w:rPr>
            </w:pPr>
            <w:r w:rsidRPr="00843B1A">
              <w:rPr>
                <w:rFonts w:asciiTheme="minorHAnsi" w:hAnsiTheme="minorHAnsi" w:cstheme="minorHAnsi"/>
                <w:b/>
                <w:bCs/>
              </w:rPr>
              <w:t xml:space="preserve">Reference: </w:t>
            </w:r>
            <w:r w:rsidRPr="00843B1A">
              <w:rPr>
                <w:rFonts w:asciiTheme="minorHAnsi" w:hAnsiTheme="minorHAnsi" w:cstheme="minorHAnsi"/>
              </w:rPr>
              <w:t xml:space="preserve">Tom Sherrington’s </w:t>
            </w:r>
            <w:proofErr w:type="spellStart"/>
            <w:r w:rsidRPr="00843B1A">
              <w:rPr>
                <w:rFonts w:asciiTheme="minorHAnsi" w:hAnsiTheme="minorHAnsi" w:cstheme="minorHAnsi"/>
              </w:rPr>
              <w:t>Teacherhead</w:t>
            </w:r>
            <w:proofErr w:type="spellEnd"/>
            <w:r w:rsidRPr="00843B1A">
              <w:rPr>
                <w:rFonts w:asciiTheme="minorHAnsi" w:hAnsiTheme="minorHAnsi" w:cstheme="minorHAnsi"/>
              </w:rPr>
              <w:t xml:space="preserve"> Blog: </w:t>
            </w:r>
            <w:hyperlink r:id="rId11">
              <w:r w:rsidRPr="00843B1A">
                <w:rPr>
                  <w:rStyle w:val="Hyperlink"/>
                  <w:rFonts w:asciiTheme="minorHAnsi" w:hAnsiTheme="minorHAnsi" w:cstheme="minorHAnsi"/>
                </w:rPr>
                <w:t>https://teacherhead.com/2018/09/02/great-teaching-the-power-of-expectations/</w:t>
              </w:r>
            </w:hyperlink>
            <w:r w:rsidRPr="00843B1A">
              <w:rPr>
                <w:rStyle w:val="Hyperlink"/>
                <w:rFonts w:asciiTheme="minorHAnsi" w:hAnsiTheme="minorHAnsi" w:cstheme="minorHAnsi"/>
              </w:rPr>
              <w:t xml:space="preserve"> </w:t>
            </w:r>
          </w:p>
          <w:p w14:paraId="6071F449" w14:textId="3A3FD367" w:rsidR="0066365A" w:rsidRPr="006E4CBC" w:rsidRDefault="0066365A" w:rsidP="00351B87">
            <w:pPr>
              <w:jc w:val="both"/>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8C6271B" w14:textId="6A3279D7" w:rsidR="008B5EE8" w:rsidRDefault="008B5EE8" w:rsidP="008B5EE8">
            <w:pPr>
              <w:pStyle w:val="paragraph"/>
              <w:spacing w:before="0" w:after="0"/>
              <w:textAlignment w:val="baseline"/>
              <w:rPr>
                <w:rStyle w:val="normaltextrun"/>
                <w:rFonts w:ascii="Tw Cen MT" w:hAnsi="Tw Cen MT" w:cs="Segoe UI"/>
                <w:color w:val="201F1E"/>
              </w:rPr>
            </w:pPr>
            <w:r>
              <w:rPr>
                <w:rStyle w:val="normaltextrun"/>
                <w:rFonts w:ascii="Tw Cen MT" w:hAnsi="Tw Cen MT" w:cs="Segoe UI"/>
                <w:color w:val="201F1E"/>
              </w:rPr>
              <w:t xml:space="preserve">You may want to explore whether the trainee understands how to establish high expectations in RE and how the learning can be meaningful. It might be helpful to see if they can identify meaningful activities and lessons and evaluate why they are so. </w:t>
            </w:r>
          </w:p>
          <w:p w14:paraId="1CD400E2" w14:textId="6ED92DA4" w:rsidR="008B5EE8" w:rsidRDefault="008B5EE8" w:rsidP="008B5EE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w Cen MT" w:hAnsi="Tw Cen MT" w:cs="Segoe UI"/>
                <w:color w:val="201F1E"/>
              </w:rPr>
              <w:t xml:space="preserve">The Ofsted Research Review into RE </w:t>
            </w:r>
            <w:r>
              <w:rPr>
                <w:rStyle w:val="normaltextrun"/>
                <w:rFonts w:ascii="Tw Cen MT" w:hAnsi="Tw Cen MT" w:cs="Segoe UI"/>
                <w:color w:val="201F1E"/>
              </w:rPr>
              <w:t>2</w:t>
            </w:r>
            <w:r>
              <w:rPr>
                <w:rStyle w:val="normaltextrun"/>
                <w:rFonts w:ascii="Tw Cen MT" w:hAnsi="Tw Cen MT"/>
                <w:color w:val="201F1E"/>
              </w:rPr>
              <w:t xml:space="preserve">024 explores meaningful RE and is </w:t>
            </w:r>
            <w:r>
              <w:rPr>
                <w:rStyle w:val="normaltextrun"/>
                <w:rFonts w:ascii="Tw Cen MT" w:hAnsi="Tw Cen MT" w:cs="Segoe UI"/>
                <w:color w:val="201F1E"/>
              </w:rPr>
              <w:t>worth a read if you haven’t read it.</w:t>
            </w:r>
            <w:r>
              <w:rPr>
                <w:rStyle w:val="eop"/>
                <w:rFonts w:ascii="Tw Cen MT" w:eastAsia="Calibri" w:hAnsi="Tw Cen MT" w:cs="Segoe UI"/>
                <w:color w:val="201F1E"/>
              </w:rPr>
              <w:t> </w:t>
            </w:r>
            <w:hyperlink r:id="rId13" w:history="1">
              <w:r>
                <w:rPr>
                  <w:rStyle w:val="Hyperlink"/>
                </w:rPr>
                <w:t>Subject report series: religious education - GOV.UK (www.gov.uk)</w:t>
              </w:r>
            </w:hyperlink>
            <w:r>
              <w:t xml:space="preserve"> </w:t>
            </w:r>
          </w:p>
          <w:p w14:paraId="18635B30" w14:textId="77777777" w:rsidR="008B5EE8" w:rsidRDefault="008B5EE8" w:rsidP="008B5EE8">
            <w:pPr>
              <w:pStyle w:val="paragraph"/>
              <w:shd w:val="clear" w:color="auto" w:fill="FFFFFF"/>
              <w:spacing w:before="0" w:beforeAutospacing="0" w:after="0" w:afterAutospacing="0"/>
              <w:textAlignment w:val="baseline"/>
              <w:rPr>
                <w:rStyle w:val="normaltextrun"/>
                <w:rFonts w:ascii="Tw Cen MT" w:hAnsi="Tw Cen MT" w:cs="Segoe UI"/>
              </w:rPr>
            </w:pPr>
          </w:p>
          <w:p w14:paraId="0C32A643" w14:textId="4F1CA143" w:rsidR="008B5EE8" w:rsidRDefault="008B5EE8" w:rsidP="008B5EE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w Cen MT" w:hAnsi="Tw Cen MT" w:cs="Segoe UI"/>
              </w:rPr>
              <w:t>It sets out Ofsted’s thoughts about what high quality RE might look like.</w:t>
            </w:r>
            <w:r>
              <w:rPr>
                <w:rStyle w:val="eop"/>
                <w:rFonts w:ascii="Tw Cen MT" w:eastAsia="Calibri" w:hAnsi="Tw Cen MT" w:cs="Segoe UI"/>
              </w:rPr>
              <w:t> </w:t>
            </w:r>
          </w:p>
          <w:p w14:paraId="02295E43" w14:textId="048234A1" w:rsidR="00191171" w:rsidRPr="00191171" w:rsidRDefault="00191171" w:rsidP="008B5EE8">
            <w:pPr>
              <w:pStyle w:val="paragraph"/>
              <w:spacing w:before="0" w:after="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8B5EE8">
        <w:trPr>
          <w:trHeight w:val="2072"/>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EAE3E2E" w14:textId="77777777" w:rsidR="00351B87" w:rsidRPr="00934128" w:rsidRDefault="00351B87" w:rsidP="00351B87">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Setting clear expectations can help communicate shared values that improve classroom and school culture.</w:t>
            </w:r>
          </w:p>
          <w:p w14:paraId="4D942275" w14:textId="77777777" w:rsidR="00351B87" w:rsidRPr="00934128" w:rsidRDefault="00351B87" w:rsidP="00351B87">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Establishing and reinforcing routines, including through positive reinforcement, can help create an effective learning environment in RE.</w:t>
            </w:r>
          </w:p>
          <w:p w14:paraId="46FAC1BD" w14:textId="77777777" w:rsidR="00351B87" w:rsidRPr="00934128" w:rsidRDefault="00351B87" w:rsidP="00351B87">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The school’s Safeguarding policy, DSO and safeguarding team and their role and the process for reporting concerns.</w:t>
            </w:r>
          </w:p>
          <w:p w14:paraId="4E488AE5" w14:textId="238D04A3" w:rsidR="00CB44DE" w:rsidRPr="006E4CBC" w:rsidRDefault="00CB44DE" w:rsidP="00351B87">
            <w:pPr>
              <w:pStyle w:val="ListParagraph"/>
              <w:spacing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2B01F755" w14:textId="5618418C" w:rsidR="00C26EC1" w:rsidRDefault="000F3320" w:rsidP="000F3320">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17248A47" w14:textId="7E44B6ED" w:rsidR="00C26EC1" w:rsidRDefault="000F3320"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E7DF590" w14:textId="77777777" w:rsidR="00351B87" w:rsidRPr="00934128" w:rsidRDefault="00351B87" w:rsidP="00351B87">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Model courteous and aspirational behaviour.</w:t>
            </w:r>
          </w:p>
          <w:p w14:paraId="11425E4C" w14:textId="77777777" w:rsidR="00351B87" w:rsidRPr="00934128" w:rsidRDefault="00351B87" w:rsidP="00351B87">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Use inspirational and consistent language that promotes challenge, aspiration, resilience, and praises pupil effort. Set tasks which stretch pupils, but which are achievable.</w:t>
            </w:r>
          </w:p>
          <w:p w14:paraId="3437E904" w14:textId="3A2839F0" w:rsidR="0066365A" w:rsidRPr="004B2F27" w:rsidRDefault="00351B87" w:rsidP="00351B87">
            <w:pPr>
              <w:pStyle w:val="ListParagraph"/>
              <w:numPr>
                <w:ilvl w:val="0"/>
                <w:numId w:val="17"/>
              </w:numPr>
              <w:spacing w:line="276" w:lineRule="auto"/>
              <w:contextualSpacing w:val="0"/>
            </w:pPr>
            <w:r w:rsidRPr="00934128">
              <w:rPr>
                <w:rFonts w:asciiTheme="minorHAnsi" w:hAnsiTheme="minorHAnsi" w:cstheme="minorHAnsi"/>
                <w:sz w:val="24"/>
                <w:szCs w:val="24"/>
              </w:rPr>
              <w:t>Create a positive and respectful learning environment in which making mistakes, resilience and perseverance are part of a daily routine.</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5C890013" w14:textId="77777777" w:rsidR="00351B87" w:rsidRPr="00351B87" w:rsidRDefault="00351B87" w:rsidP="00351B87">
            <w:pPr>
              <w:spacing w:line="276" w:lineRule="auto"/>
              <w:rPr>
                <w:rFonts w:asciiTheme="minorHAnsi" w:hAnsiTheme="minorHAnsi" w:cstheme="minorHAnsi"/>
                <w:sz w:val="24"/>
                <w:szCs w:val="24"/>
              </w:rPr>
            </w:pPr>
            <w:r w:rsidRPr="00351B87">
              <w:rPr>
                <w:rFonts w:asciiTheme="minorHAnsi" w:hAnsiTheme="minorHAnsi" w:cstheme="minorHAnsi"/>
                <w:sz w:val="24"/>
                <w:szCs w:val="24"/>
              </w:rPr>
              <w:t>What have you learnt about the importance of having high expectations?</w:t>
            </w: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055E03CC" w14:textId="77777777" w:rsidR="00351B87" w:rsidRPr="00351B87" w:rsidRDefault="00351B87" w:rsidP="00351B87">
            <w:pPr>
              <w:spacing w:line="276" w:lineRule="auto"/>
              <w:rPr>
                <w:rFonts w:asciiTheme="minorHAnsi" w:hAnsiTheme="minorHAnsi" w:cstheme="minorHAnsi"/>
                <w:sz w:val="24"/>
                <w:szCs w:val="24"/>
              </w:rPr>
            </w:pPr>
            <w:r w:rsidRPr="00351B87">
              <w:rPr>
                <w:rFonts w:asciiTheme="minorHAnsi" w:hAnsiTheme="minorHAnsi" w:cstheme="minorHAnsi"/>
                <w:sz w:val="24"/>
                <w:szCs w:val="24"/>
              </w:rPr>
              <w:t>How has your understanding of managing behaviour developed this week? Can you link this to any learning from your university learning?</w:t>
            </w: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27A64428" w14:textId="59AD3D64" w:rsidR="00FA752A" w:rsidRPr="00351B87" w:rsidRDefault="00351B87" w:rsidP="00351B87">
            <w:pPr>
              <w:pStyle w:val="TableParagraph"/>
              <w:rPr>
                <w:i w:val="0"/>
                <w:iCs w:val="0"/>
              </w:rPr>
            </w:pPr>
            <w:r w:rsidRPr="00351B87">
              <w:rPr>
                <w:rFonts w:asciiTheme="minorHAnsi" w:hAnsiTheme="minorHAnsi" w:cstheme="minorHAnsi"/>
                <w:i w:val="0"/>
                <w:iCs w:val="0"/>
                <w:sz w:val="24"/>
                <w:szCs w:val="24"/>
              </w:rPr>
              <w:t>Are there any specific safeguarding challenges within RE? What are they?</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4BF80DFC" w14:textId="3BF61F71" w:rsidR="00FA752A" w:rsidRDefault="00FA752A"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B5EE8"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B5EE8"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B5EE8"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6FDBEF54" w:rsidR="00BB0205" w:rsidRPr="00BB0205" w:rsidRDefault="00346B25" w:rsidP="00346B25">
    <w:pPr>
      <w:pStyle w:val="Header"/>
      <w:rPr>
        <w:b/>
        <w:sz w:val="28"/>
        <w:szCs w:val="28"/>
      </w:rPr>
    </w:pPr>
    <w:r>
      <w:rPr>
        <w:noProof/>
      </w:rPr>
      <w:drawing>
        <wp:inline distT="0" distB="0" distL="0" distR="0" wp14:anchorId="0D338AA3" wp14:editId="688A7A5F">
          <wp:extent cx="4411980" cy="861060"/>
          <wp:effectExtent l="0" t="0" r="7620" b="0"/>
          <wp:docPr id="1991206928"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980" cy="86106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8"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7"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2"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0"/>
  </w:num>
  <w:num w:numId="2" w16cid:durableId="745959156">
    <w:abstractNumId w:val="11"/>
  </w:num>
  <w:num w:numId="3" w16cid:durableId="365060952">
    <w:abstractNumId w:val="5"/>
  </w:num>
  <w:num w:numId="4" w16cid:durableId="970749666">
    <w:abstractNumId w:val="1"/>
  </w:num>
  <w:num w:numId="5" w16cid:durableId="375013857">
    <w:abstractNumId w:val="24"/>
  </w:num>
  <w:num w:numId="6" w16cid:durableId="995718178">
    <w:abstractNumId w:val="26"/>
  </w:num>
  <w:num w:numId="7" w16cid:durableId="208495139">
    <w:abstractNumId w:val="18"/>
  </w:num>
  <w:num w:numId="8" w16cid:durableId="681662471">
    <w:abstractNumId w:val="23"/>
  </w:num>
  <w:num w:numId="9" w16cid:durableId="769281397">
    <w:abstractNumId w:val="14"/>
  </w:num>
  <w:num w:numId="10" w16cid:durableId="1403983886">
    <w:abstractNumId w:val="25"/>
  </w:num>
  <w:num w:numId="11" w16cid:durableId="1087381121">
    <w:abstractNumId w:val="3"/>
  </w:num>
  <w:num w:numId="12" w16cid:durableId="129786804">
    <w:abstractNumId w:val="4"/>
  </w:num>
  <w:num w:numId="13" w16cid:durableId="1645425847">
    <w:abstractNumId w:val="0"/>
  </w:num>
  <w:num w:numId="14" w16cid:durableId="600911606">
    <w:abstractNumId w:val="21"/>
  </w:num>
  <w:num w:numId="15" w16cid:durableId="1593857607">
    <w:abstractNumId w:val="10"/>
  </w:num>
  <w:num w:numId="16" w16cid:durableId="1642465962">
    <w:abstractNumId w:val="12"/>
  </w:num>
  <w:num w:numId="17" w16cid:durableId="1424767617">
    <w:abstractNumId w:val="8"/>
  </w:num>
  <w:num w:numId="18" w16cid:durableId="976228493">
    <w:abstractNumId w:val="6"/>
  </w:num>
  <w:num w:numId="19" w16cid:durableId="95366447">
    <w:abstractNumId w:val="22"/>
  </w:num>
  <w:num w:numId="20" w16cid:durableId="583690657">
    <w:abstractNumId w:val="17"/>
  </w:num>
  <w:num w:numId="21" w16cid:durableId="1839032955">
    <w:abstractNumId w:val="9"/>
  </w:num>
  <w:num w:numId="22" w16cid:durableId="44185074">
    <w:abstractNumId w:val="13"/>
  </w:num>
  <w:num w:numId="23" w16cid:durableId="2096630338">
    <w:abstractNumId w:val="15"/>
  </w:num>
  <w:num w:numId="24" w16cid:durableId="1692804914">
    <w:abstractNumId w:val="19"/>
  </w:num>
  <w:num w:numId="25" w16cid:durableId="898202993">
    <w:abstractNumId w:val="2"/>
  </w:num>
  <w:num w:numId="26" w16cid:durableId="787747019">
    <w:abstractNumId w:val="7"/>
  </w:num>
  <w:num w:numId="27" w16cid:durableId="212476179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C63DA"/>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46B25"/>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444C7"/>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B5EE8"/>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2BB4"/>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776874493">
      <w:bodyDiv w:val="1"/>
      <w:marLeft w:val="0"/>
      <w:marRight w:val="0"/>
      <w:marTop w:val="0"/>
      <w:marBottom w:val="0"/>
      <w:divBdr>
        <w:top w:val="none" w:sz="0" w:space="0" w:color="auto"/>
        <w:left w:val="none" w:sz="0" w:space="0" w:color="auto"/>
        <w:bottom w:val="none" w:sz="0" w:space="0" w:color="auto"/>
        <w:right w:val="none" w:sz="0" w:space="0" w:color="auto"/>
      </w:divBdr>
      <w:divsChild>
        <w:div w:id="956713325">
          <w:marLeft w:val="0"/>
          <w:marRight w:val="0"/>
          <w:marTop w:val="0"/>
          <w:marBottom w:val="0"/>
          <w:divBdr>
            <w:top w:val="none" w:sz="0" w:space="0" w:color="auto"/>
            <w:left w:val="none" w:sz="0" w:space="0" w:color="auto"/>
            <w:bottom w:val="none" w:sz="0" w:space="0" w:color="auto"/>
            <w:right w:val="none" w:sz="0" w:space="0" w:color="auto"/>
          </w:divBdr>
        </w:div>
        <w:div w:id="83380178">
          <w:marLeft w:val="0"/>
          <w:marRight w:val="0"/>
          <w:marTop w:val="0"/>
          <w:marBottom w:val="0"/>
          <w:divBdr>
            <w:top w:val="none" w:sz="0" w:space="0" w:color="auto"/>
            <w:left w:val="none" w:sz="0" w:space="0" w:color="auto"/>
            <w:bottom w:val="none" w:sz="0" w:space="0" w:color="auto"/>
            <w:right w:val="none" w:sz="0" w:space="0" w:color="auto"/>
          </w:divBdr>
        </w:div>
        <w:div w:id="1726833489">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883053535">
      <w:bodyDiv w:val="1"/>
      <w:marLeft w:val="0"/>
      <w:marRight w:val="0"/>
      <w:marTop w:val="0"/>
      <w:marBottom w:val="0"/>
      <w:divBdr>
        <w:top w:val="none" w:sz="0" w:space="0" w:color="auto"/>
        <w:left w:val="none" w:sz="0" w:space="0" w:color="auto"/>
        <w:bottom w:val="none" w:sz="0" w:space="0" w:color="auto"/>
        <w:right w:val="none" w:sz="0" w:space="0" w:color="auto"/>
      </w:divBdr>
      <w:divsChild>
        <w:div w:id="184099811">
          <w:marLeft w:val="0"/>
          <w:marRight w:val="0"/>
          <w:marTop w:val="0"/>
          <w:marBottom w:val="0"/>
          <w:divBdr>
            <w:top w:val="none" w:sz="0" w:space="0" w:color="auto"/>
            <w:left w:val="none" w:sz="0" w:space="0" w:color="auto"/>
            <w:bottom w:val="none" w:sz="0" w:space="0" w:color="auto"/>
            <w:right w:val="none" w:sz="0" w:space="0" w:color="auto"/>
          </w:divBdr>
        </w:div>
        <w:div w:id="1185289097">
          <w:marLeft w:val="0"/>
          <w:marRight w:val="0"/>
          <w:marTop w:val="0"/>
          <w:marBottom w:val="0"/>
          <w:divBdr>
            <w:top w:val="none" w:sz="0" w:space="0" w:color="auto"/>
            <w:left w:val="none" w:sz="0" w:space="0" w:color="auto"/>
            <w:bottom w:val="none" w:sz="0" w:space="0" w:color="auto"/>
            <w:right w:val="none" w:sz="0" w:space="0" w:color="auto"/>
          </w:divBdr>
        </w:div>
      </w:divsChild>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bject-report-series-religious-education"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erhead.com/2018/09/02/great-teaching-the-power-of-expectations/"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685</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2</cp:revision>
  <cp:lastPrinted>2023-05-18T14:08:00Z</cp:lastPrinted>
  <dcterms:created xsi:type="dcterms:W3CDTF">2024-04-25T09:52:00Z</dcterms:created>
  <dcterms:modified xsi:type="dcterms:W3CDTF">2024-04-25T09:52:00Z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