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06" w:type="dxa"/>
        <w:tblInd w:w="-436" w:type="dxa"/>
        <w:tblCellMar>
          <w:top w:w="145" w:type="dxa"/>
          <w:left w:w="98" w:type="dxa"/>
          <w:right w:w="68" w:type="dxa"/>
        </w:tblCellMar>
        <w:tblLook w:val="04A0" w:firstRow="1" w:lastRow="0" w:firstColumn="1" w:lastColumn="0" w:noHBand="0" w:noVBand="1"/>
      </w:tblPr>
      <w:tblGrid>
        <w:gridCol w:w="1408"/>
        <w:gridCol w:w="61"/>
        <w:gridCol w:w="477"/>
        <w:gridCol w:w="440"/>
        <w:gridCol w:w="440"/>
        <w:gridCol w:w="398"/>
        <w:gridCol w:w="431"/>
        <w:gridCol w:w="1727"/>
        <w:gridCol w:w="63"/>
        <w:gridCol w:w="1898"/>
        <w:gridCol w:w="224"/>
        <w:gridCol w:w="739"/>
        <w:gridCol w:w="707"/>
        <w:gridCol w:w="903"/>
        <w:gridCol w:w="636"/>
        <w:gridCol w:w="674"/>
      </w:tblGrid>
      <w:tr w:rsidR="00BB0205" w:rsidRPr="00F07217" w14:paraId="31D4C3CB" w14:textId="77777777" w:rsidTr="00686A7B">
        <w:trPr>
          <w:trHeight w:val="680"/>
        </w:trPr>
        <w:tc>
          <w:tcPr>
            <w:tcW w:w="11206" w:type="dxa"/>
            <w:gridSpan w:val="16"/>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F84226A"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BC3072">
              <w:rPr>
                <w:rFonts w:ascii="Cambria" w:eastAsia="Georgia" w:hAnsi="Cambria" w:cs="Georgia"/>
                <w:b/>
                <w:color w:val="FFFFFF" w:themeColor="background1"/>
                <w:sz w:val="20"/>
                <w:szCs w:val="20"/>
              </w:rPr>
              <w:t>3</w:t>
            </w:r>
            <w:r w:rsidR="00DC685F">
              <w:rPr>
                <w:rFonts w:ascii="Cambria" w:eastAsia="Georgia" w:hAnsi="Cambria" w:cs="Georgia"/>
                <w:b/>
                <w:color w:val="FFFFFF" w:themeColor="background1"/>
                <w:sz w:val="20"/>
                <w:szCs w:val="20"/>
              </w:rPr>
              <w:t>6</w:t>
            </w:r>
          </w:p>
        </w:tc>
      </w:tr>
      <w:tr w:rsidR="00E65DEB" w:rsidRPr="00F07217" w14:paraId="691F8551" w14:textId="77777777" w:rsidTr="00686A7B">
        <w:trPr>
          <w:trHeight w:val="650"/>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052E0933" w14:textId="5078C349"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F31A2E">
              <w:rPr>
                <w:rFonts w:ascii="Cambria" w:hAnsi="Cambria"/>
                <w:b/>
                <w:bCs/>
                <w:sz w:val="20"/>
                <w:szCs w:val="20"/>
              </w:rPr>
              <w:t xml:space="preserve">PGCE / UHD Further Education and Training </w:t>
            </w:r>
          </w:p>
          <w:p w14:paraId="51155A7A" w14:textId="77777777" w:rsidR="00F31A2E" w:rsidRPr="00523D39" w:rsidRDefault="00F31A2E">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686A7B">
        <w:trPr>
          <w:trHeight w:val="126"/>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1025B6C3" w:rsidR="004009A7" w:rsidRPr="00523D39" w:rsidRDefault="004009A7">
            <w:pPr>
              <w:jc w:val="both"/>
              <w:rPr>
                <w:rFonts w:ascii="Cambria" w:hAnsi="Cambria"/>
                <w:b/>
                <w:bCs/>
                <w:sz w:val="20"/>
                <w:szCs w:val="20"/>
              </w:rPr>
            </w:pPr>
            <w:r w:rsidRPr="00523D39">
              <w:rPr>
                <w:rFonts w:ascii="Cambria" w:hAnsi="Cambria"/>
                <w:b/>
                <w:bCs/>
                <w:sz w:val="20"/>
                <w:szCs w:val="20"/>
              </w:rPr>
              <w:t>Name</w:t>
            </w:r>
            <w:r w:rsidR="00F31A2E">
              <w:rPr>
                <w:rFonts w:ascii="Cambria" w:hAnsi="Cambria"/>
                <w:b/>
                <w:bCs/>
                <w:sz w:val="20"/>
                <w:szCs w:val="20"/>
              </w:rPr>
              <w:t xml:space="preserve"> </w:t>
            </w:r>
            <w:r w:rsidRPr="00523D39">
              <w:rPr>
                <w:rFonts w:ascii="Cambria" w:hAnsi="Cambria"/>
                <w:b/>
                <w:bCs/>
                <w:sz w:val="20"/>
                <w:szCs w:val="20"/>
              </w:rPr>
              <w:t>of trainee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1D745CE3" w14:textId="5E3AC0C0"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Trainee ID no.</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2BC66C0E" w:rsidR="004009A7" w:rsidRPr="007422DD" w:rsidRDefault="004009A7">
            <w:pPr>
              <w:jc w:val="both"/>
              <w:rPr>
                <w:rFonts w:ascii="Cambria" w:hAnsi="Cambria"/>
                <w:b/>
                <w:bCs/>
                <w:color w:val="FF0000"/>
              </w:rPr>
            </w:pPr>
          </w:p>
        </w:tc>
      </w:tr>
      <w:tr w:rsidR="004009A7" w:rsidRPr="00F07217" w14:paraId="7196D986" w14:textId="77777777" w:rsidTr="00686A7B">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0E2DD972" w14:textId="0F016D9B"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Professional Practice phase</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C2A43F" w:rsidR="004009A7" w:rsidRPr="00F31A2E" w:rsidRDefault="00A26FEA">
            <w:pPr>
              <w:jc w:val="both"/>
              <w:rPr>
                <w:rFonts w:ascii="Cambria" w:hAnsi="Cambria"/>
                <w:b/>
                <w:bCs/>
                <w:color w:val="auto"/>
              </w:rPr>
            </w:pPr>
            <w:r>
              <w:rPr>
                <w:rFonts w:ascii="Cambria" w:hAnsi="Cambria"/>
                <w:b/>
                <w:bCs/>
                <w:color w:val="auto"/>
              </w:rPr>
              <w:t xml:space="preserve">CONSOLIDATION </w:t>
            </w:r>
          </w:p>
        </w:tc>
      </w:tr>
      <w:tr w:rsidR="004009A7" w:rsidRPr="00F07217" w14:paraId="4FBA03EC" w14:textId="77777777" w:rsidTr="00686A7B">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244641AB" w14:textId="44D67D58"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Name of setting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62C173F" w:rsidR="004009A7" w:rsidRPr="00F31A2E" w:rsidRDefault="004009A7">
            <w:pPr>
              <w:jc w:val="both"/>
              <w:rPr>
                <w:rFonts w:ascii="Cambria" w:hAnsi="Cambria"/>
                <w:b/>
                <w:bCs/>
                <w:color w:val="auto"/>
              </w:rPr>
            </w:pPr>
          </w:p>
        </w:tc>
      </w:tr>
      <w:tr w:rsidR="004009A7" w:rsidRPr="00F07217" w14:paraId="4FA3BD19" w14:textId="77777777" w:rsidTr="00686A7B">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58508142" w14:textId="37AAE6F8" w:rsidR="004009A7" w:rsidRPr="00733D3D" w:rsidRDefault="00733D3D">
            <w:pPr>
              <w:jc w:val="both"/>
              <w:rPr>
                <w:rFonts w:ascii="Cambria" w:hAnsi="Cambria"/>
                <w:b/>
                <w:bCs/>
                <w:color w:val="auto"/>
                <w:sz w:val="24"/>
                <w:szCs w:val="24"/>
              </w:rPr>
            </w:pPr>
            <w:r w:rsidRPr="00733D3D">
              <w:rPr>
                <w:rFonts w:ascii="Cambria" w:hAnsi="Cambria"/>
                <w:b/>
                <w:bCs/>
                <w:color w:val="auto"/>
                <w:sz w:val="24"/>
                <w:szCs w:val="24"/>
              </w:rPr>
              <w:t>PGCE / UHD Further Education and Training</w:t>
            </w:r>
            <w:r w:rsidR="000C5D4D">
              <w:rPr>
                <w:rFonts w:ascii="Cambria" w:hAnsi="Cambria"/>
                <w:b/>
                <w:bCs/>
                <w:color w:val="auto"/>
                <w:sz w:val="24"/>
                <w:szCs w:val="24"/>
              </w:rPr>
              <w:t xml:space="preserve"> (please highlight) </w:t>
            </w:r>
          </w:p>
          <w:p w14:paraId="5068FCC5" w14:textId="73936EFC" w:rsidR="00733D3D" w:rsidRPr="007422DD" w:rsidRDefault="00733D3D">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Week beginning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5EDA89AB" w:rsidR="004009A7" w:rsidRPr="00F31A2E" w:rsidRDefault="00CA1F72">
            <w:pPr>
              <w:jc w:val="both"/>
              <w:rPr>
                <w:rFonts w:ascii="Cambria" w:hAnsi="Cambria"/>
                <w:b/>
                <w:bCs/>
                <w:color w:val="auto"/>
                <w:sz w:val="24"/>
                <w:szCs w:val="24"/>
              </w:rPr>
            </w:pPr>
            <w:r>
              <w:rPr>
                <w:rFonts w:ascii="Cambria" w:hAnsi="Cambria"/>
                <w:b/>
                <w:bCs/>
                <w:color w:val="auto"/>
                <w:sz w:val="24"/>
                <w:szCs w:val="24"/>
              </w:rPr>
              <w:t>2</w:t>
            </w:r>
            <w:r w:rsidR="00DC685F">
              <w:rPr>
                <w:rFonts w:ascii="Cambria" w:hAnsi="Cambria"/>
                <w:b/>
                <w:bCs/>
                <w:color w:val="auto"/>
                <w:sz w:val="24"/>
                <w:szCs w:val="24"/>
              </w:rPr>
              <w:t>9th</w:t>
            </w:r>
            <w:r w:rsidR="0072228E">
              <w:rPr>
                <w:rFonts w:ascii="Cambria" w:hAnsi="Cambria"/>
                <w:b/>
                <w:bCs/>
                <w:color w:val="auto"/>
                <w:sz w:val="24"/>
                <w:szCs w:val="24"/>
              </w:rPr>
              <w:t xml:space="preserve"> April </w:t>
            </w:r>
            <w:r w:rsidR="00F31A2E" w:rsidRPr="00F31A2E">
              <w:rPr>
                <w:rFonts w:ascii="Cambria" w:hAnsi="Cambria"/>
                <w:b/>
                <w:bCs/>
                <w:color w:val="auto"/>
                <w:sz w:val="24"/>
                <w:szCs w:val="24"/>
              </w:rPr>
              <w:t>202</w:t>
            </w:r>
            <w:r w:rsidR="009B2245">
              <w:rPr>
                <w:rFonts w:ascii="Cambria" w:hAnsi="Cambria"/>
                <w:b/>
                <w:bCs/>
                <w:color w:val="auto"/>
                <w:sz w:val="24"/>
                <w:szCs w:val="24"/>
              </w:rPr>
              <w:t>4</w:t>
            </w:r>
          </w:p>
        </w:tc>
      </w:tr>
      <w:tr w:rsidR="009B2245" w:rsidRPr="00F07217" w14:paraId="25B9C3C9" w14:textId="77777777" w:rsidTr="00686A7B">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733D3D" w:rsidRPr="00523D39" w:rsidRDefault="00733D3D" w:rsidP="00733D3D">
            <w:pPr>
              <w:jc w:val="center"/>
              <w:rPr>
                <w:rFonts w:ascii="Cambria" w:hAnsi="Cambria"/>
                <w:b/>
                <w:bCs/>
                <w:sz w:val="20"/>
                <w:szCs w:val="20"/>
              </w:rPr>
            </w:pPr>
            <w:r w:rsidRPr="00523D39">
              <w:rPr>
                <w:rFonts w:ascii="Cambria" w:hAnsi="Cambria"/>
                <w:b/>
                <w:bCs/>
                <w:sz w:val="20"/>
                <w:szCs w:val="20"/>
              </w:rPr>
              <w:t>Days trainee has attended this week</w:t>
            </w: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3BCD715B" w14:textId="27751A2F" w:rsidR="00733D3D" w:rsidRPr="00733D3D" w:rsidRDefault="00733D3D" w:rsidP="00733D3D">
            <w:pPr>
              <w:rPr>
                <w:rFonts w:ascii="Cambria" w:hAnsi="Cambria"/>
                <w:b/>
                <w:bCs/>
                <w:sz w:val="20"/>
                <w:szCs w:val="20"/>
              </w:rPr>
            </w:pPr>
            <w:r w:rsidRPr="00733D3D">
              <w:rPr>
                <w:rFonts w:ascii="Cambria" w:hAnsi="Cambria"/>
                <w:b/>
                <w:bCs/>
                <w:sz w:val="20"/>
                <w:szCs w:val="20"/>
              </w:rPr>
              <w:t>M</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4E047DBE" w14:textId="527A4D06"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359" w:type="dxa"/>
            <w:tcBorders>
              <w:top w:val="single" w:sz="4" w:space="0" w:color="auto"/>
              <w:left w:val="single" w:sz="4" w:space="0" w:color="auto"/>
              <w:bottom w:val="single" w:sz="4" w:space="0" w:color="auto"/>
              <w:right w:val="single" w:sz="4" w:space="0" w:color="auto"/>
            </w:tcBorders>
            <w:shd w:val="clear" w:color="auto" w:fill="auto"/>
          </w:tcPr>
          <w:p w14:paraId="4F562C3B" w14:textId="38E9B1C0" w:rsidR="00733D3D" w:rsidRPr="00733D3D" w:rsidRDefault="00733D3D" w:rsidP="00733D3D">
            <w:pPr>
              <w:jc w:val="center"/>
              <w:rPr>
                <w:rFonts w:ascii="Cambria" w:hAnsi="Cambria"/>
                <w:b/>
                <w:bCs/>
                <w:sz w:val="20"/>
                <w:szCs w:val="20"/>
              </w:rPr>
            </w:pPr>
            <w:r w:rsidRPr="00733D3D">
              <w:rPr>
                <w:rFonts w:ascii="Cambria" w:hAnsi="Cambria"/>
                <w:b/>
                <w:bCs/>
                <w:sz w:val="20"/>
                <w:szCs w:val="20"/>
              </w:rPr>
              <w:t>W</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D08B77A" w14:textId="7854F308"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A5213D" w14:textId="6DFC6367" w:rsidR="00733D3D" w:rsidRPr="00733D3D" w:rsidRDefault="00733D3D" w:rsidP="00733D3D">
            <w:pPr>
              <w:jc w:val="center"/>
              <w:rPr>
                <w:rFonts w:ascii="Cambria" w:hAnsi="Cambria"/>
                <w:b/>
                <w:bCs/>
                <w:sz w:val="20"/>
                <w:szCs w:val="20"/>
              </w:rPr>
            </w:pPr>
            <w:r w:rsidRPr="00733D3D">
              <w:rPr>
                <w:rFonts w:ascii="Cambria" w:hAnsi="Cambria"/>
                <w:b/>
                <w:bCs/>
                <w:sz w:val="20"/>
                <w:szCs w:val="20"/>
              </w:rPr>
              <w:t>F</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3F8C042" w14:textId="28F5DC09" w:rsidR="00733D3D" w:rsidRPr="00523D39" w:rsidRDefault="00733D3D" w:rsidP="00733D3D">
            <w:pPr>
              <w:jc w:val="center"/>
              <w:rPr>
                <w:rFonts w:ascii="Cambria" w:hAnsi="Cambria"/>
                <w:b/>
                <w:bCs/>
                <w:sz w:val="20"/>
                <w:szCs w:val="20"/>
              </w:rPr>
            </w:pPr>
            <w:r>
              <w:rPr>
                <w:rFonts w:ascii="Cambria" w:hAnsi="Cambria"/>
                <w:b/>
                <w:bCs/>
                <w:sz w:val="20"/>
                <w:szCs w:val="20"/>
              </w:rPr>
              <w:t>ETF solo teaching hours to date</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20C84942" w:rsidR="00733D3D" w:rsidRPr="002861D5" w:rsidRDefault="00733D3D" w:rsidP="00733D3D">
            <w:pPr>
              <w:jc w:val="center"/>
              <w:rPr>
                <w:rFonts w:ascii="Cambria" w:hAnsi="Cambria"/>
                <w:b/>
                <w:bCs/>
                <w:color w:val="auto"/>
                <w:sz w:val="28"/>
                <w:szCs w:val="28"/>
              </w:rPr>
            </w:pPr>
          </w:p>
        </w:tc>
        <w:tc>
          <w:tcPr>
            <w:tcW w:w="1364" w:type="dxa"/>
            <w:gridSpan w:val="3"/>
            <w:tcBorders>
              <w:top w:val="single" w:sz="4" w:space="0" w:color="auto"/>
              <w:left w:val="single" w:sz="4" w:space="0" w:color="auto"/>
              <w:bottom w:val="single" w:sz="4" w:space="0" w:color="auto"/>
              <w:right w:val="single" w:sz="4" w:space="0" w:color="auto"/>
            </w:tcBorders>
            <w:shd w:val="clear" w:color="auto" w:fill="auto"/>
          </w:tcPr>
          <w:p w14:paraId="62FC6C98" w14:textId="491903F8" w:rsidR="00733D3D" w:rsidRPr="002861D5" w:rsidRDefault="00733D3D" w:rsidP="00733D3D">
            <w:pPr>
              <w:jc w:val="center"/>
              <w:rPr>
                <w:rFonts w:ascii="Cambria" w:hAnsi="Cambria"/>
                <w:b/>
                <w:bCs/>
                <w:color w:val="auto"/>
                <w:sz w:val="20"/>
                <w:szCs w:val="20"/>
              </w:rPr>
            </w:pPr>
            <w:r w:rsidRPr="002861D5">
              <w:rPr>
                <w:rFonts w:ascii="Cambria" w:hAnsi="Cambria"/>
                <w:b/>
                <w:bCs/>
                <w:color w:val="auto"/>
                <w:sz w:val="20"/>
                <w:szCs w:val="20"/>
              </w:rPr>
              <w:t>ETF teaching observations to date</w:t>
            </w:r>
          </w:p>
        </w:tc>
        <w:tc>
          <w:tcPr>
            <w:tcW w:w="2219"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3EAF1EED" w:rsidR="00733D3D" w:rsidRPr="002861D5" w:rsidRDefault="00733D3D" w:rsidP="00733D3D">
            <w:pPr>
              <w:jc w:val="center"/>
              <w:rPr>
                <w:rFonts w:ascii="Cambria" w:hAnsi="Cambria"/>
                <w:b/>
                <w:bCs/>
                <w:color w:val="auto"/>
                <w:sz w:val="28"/>
                <w:szCs w:val="28"/>
              </w:rPr>
            </w:pPr>
          </w:p>
        </w:tc>
      </w:tr>
      <w:tr w:rsidR="00733D3D" w:rsidRPr="00F07217" w14:paraId="0EB57F5F" w14:textId="77777777" w:rsidTr="00686A7B">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733D3D" w:rsidRPr="00523D39" w:rsidRDefault="00733D3D" w:rsidP="00733D3D">
            <w:pPr>
              <w:rPr>
                <w:rFonts w:ascii="Cambria" w:hAnsi="Cambria"/>
                <w:b/>
                <w:bCs/>
                <w:sz w:val="20"/>
                <w:szCs w:val="20"/>
              </w:rPr>
            </w:pPr>
            <w:r w:rsidRPr="00523D39">
              <w:rPr>
                <w:rFonts w:ascii="Cambria" w:hAnsi="Cambria"/>
                <w:b/>
                <w:bCs/>
                <w:sz w:val="20"/>
                <w:szCs w:val="20"/>
              </w:rPr>
              <w:t>Key reading for the week</w:t>
            </w:r>
          </w:p>
          <w:p w14:paraId="4E67F24B" w14:textId="11E5B013" w:rsidR="00733D3D" w:rsidRPr="00523D39" w:rsidRDefault="00733D3D" w:rsidP="00733D3D">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1F1B6B2E" w14:textId="3517FF19" w:rsidR="00DC685F" w:rsidRPr="00DC685F" w:rsidRDefault="00DC685F" w:rsidP="00DC685F">
            <w:pPr>
              <w:jc w:val="both"/>
              <w:rPr>
                <w:rFonts w:ascii="Cambria" w:hAnsi="Cambria"/>
                <w:b/>
                <w:sz w:val="20"/>
                <w:szCs w:val="20"/>
              </w:rPr>
            </w:pPr>
            <w:r w:rsidRPr="00DC685F">
              <w:rPr>
                <w:rFonts w:ascii="Cambria" w:hAnsi="Cambria"/>
                <w:b/>
                <w:sz w:val="20"/>
                <w:szCs w:val="20"/>
              </w:rPr>
              <w:t>Summary</w:t>
            </w:r>
          </w:p>
          <w:p w14:paraId="705A5F60" w14:textId="3AC1A6CF" w:rsidR="00DC685F" w:rsidRPr="00DC685F" w:rsidRDefault="00DC685F" w:rsidP="00DC685F">
            <w:pPr>
              <w:jc w:val="both"/>
              <w:rPr>
                <w:rFonts w:ascii="Cambria" w:hAnsi="Cambria"/>
                <w:sz w:val="20"/>
                <w:szCs w:val="20"/>
              </w:rPr>
            </w:pPr>
            <w:r w:rsidRPr="00DC685F">
              <w:rPr>
                <w:rFonts w:ascii="Cambria" w:hAnsi="Cambria"/>
                <w:sz w:val="20"/>
                <w:szCs w:val="20"/>
              </w:rPr>
              <w:t>The Department for Education’s online Workload Challenge consultation ran between 22 October and 21 November 2014. It asked three key open-ended questions:</w:t>
            </w:r>
          </w:p>
          <w:p w14:paraId="51DB40E5" w14:textId="7ED118B9" w:rsidR="00DC685F" w:rsidRPr="00DC685F" w:rsidRDefault="00DC685F" w:rsidP="00DC685F">
            <w:pPr>
              <w:jc w:val="both"/>
              <w:rPr>
                <w:rFonts w:ascii="Cambria" w:hAnsi="Cambria"/>
                <w:sz w:val="20"/>
                <w:szCs w:val="20"/>
              </w:rPr>
            </w:pPr>
            <w:r w:rsidRPr="00DC685F">
              <w:rPr>
                <w:rFonts w:ascii="Cambria" w:hAnsi="Cambria"/>
                <w:sz w:val="20"/>
                <w:szCs w:val="20"/>
              </w:rPr>
              <w:t>1. Tell us about the unnecessary and unproductive tasks which take up too much of your time. Where do these come from?</w:t>
            </w:r>
          </w:p>
          <w:p w14:paraId="60C6AEC1" w14:textId="36AE5ED4" w:rsidR="00DC685F" w:rsidRPr="00DC685F" w:rsidRDefault="00DC685F" w:rsidP="00DC685F">
            <w:pPr>
              <w:jc w:val="both"/>
              <w:rPr>
                <w:rFonts w:ascii="Cambria" w:hAnsi="Cambria"/>
                <w:sz w:val="20"/>
                <w:szCs w:val="20"/>
              </w:rPr>
            </w:pPr>
            <w:r w:rsidRPr="00DC685F">
              <w:rPr>
                <w:rFonts w:ascii="Cambria" w:hAnsi="Cambria"/>
                <w:sz w:val="20"/>
                <w:szCs w:val="20"/>
              </w:rPr>
              <w:t xml:space="preserve">2. Send us your solutions and strategies for tackling workload – what works well </w:t>
            </w:r>
            <w:proofErr w:type="spellStart"/>
            <w:r w:rsidRPr="00DC685F">
              <w:rPr>
                <w:rFonts w:ascii="Cambria" w:hAnsi="Cambria"/>
                <w:sz w:val="20"/>
                <w:szCs w:val="20"/>
              </w:rPr>
              <w:t>inyour</w:t>
            </w:r>
            <w:proofErr w:type="spellEnd"/>
            <w:r w:rsidRPr="00DC685F">
              <w:rPr>
                <w:rFonts w:ascii="Cambria" w:hAnsi="Cambria"/>
                <w:sz w:val="20"/>
                <w:szCs w:val="20"/>
              </w:rPr>
              <w:t xml:space="preserve"> school?</w:t>
            </w:r>
          </w:p>
          <w:p w14:paraId="2D0D0367" w14:textId="5A78BAF6" w:rsidR="00DC685F" w:rsidRPr="00DC685F" w:rsidRDefault="00DC685F" w:rsidP="00DC685F">
            <w:pPr>
              <w:jc w:val="both"/>
              <w:rPr>
                <w:rFonts w:ascii="Cambria" w:hAnsi="Cambria"/>
                <w:sz w:val="20"/>
                <w:szCs w:val="20"/>
              </w:rPr>
            </w:pPr>
            <w:r w:rsidRPr="00DC685F">
              <w:rPr>
                <w:rFonts w:ascii="Cambria" w:hAnsi="Cambria"/>
                <w:sz w:val="20"/>
                <w:szCs w:val="20"/>
              </w:rPr>
              <w:t>3. What do you think should be done to tackle unnecessary workload – by government, by schools or by others?</w:t>
            </w:r>
          </w:p>
          <w:p w14:paraId="33C814FD" w14:textId="52133241" w:rsidR="00FC7621" w:rsidRDefault="00DC685F" w:rsidP="00DC685F">
            <w:pPr>
              <w:jc w:val="both"/>
              <w:rPr>
                <w:rFonts w:ascii="Cambria" w:hAnsi="Cambria"/>
                <w:sz w:val="20"/>
                <w:szCs w:val="20"/>
              </w:rPr>
            </w:pPr>
            <w:r w:rsidRPr="00DC685F">
              <w:rPr>
                <w:rFonts w:ascii="Cambria" w:hAnsi="Cambria"/>
                <w:sz w:val="20"/>
                <w:szCs w:val="20"/>
              </w:rPr>
              <w:t>A report was produced which presented analyses of an initial 10% sample (1,680) of consultation respondents, who answered all three questions. This accompanying report</w:t>
            </w:r>
            <w:r w:rsidR="001905AC">
              <w:rPr>
                <w:rFonts w:ascii="Cambria" w:hAnsi="Cambria"/>
                <w:sz w:val="20"/>
                <w:szCs w:val="20"/>
              </w:rPr>
              <w:t xml:space="preserve"> </w:t>
            </w:r>
            <w:r w:rsidRPr="00DC685F">
              <w:rPr>
                <w:rFonts w:ascii="Cambria" w:hAnsi="Cambria"/>
                <w:sz w:val="20"/>
                <w:szCs w:val="20"/>
              </w:rPr>
              <w:t xml:space="preserve">presents the findings from the analyses of a sample of 240 members of staff working in sixth form colleges, of which the majority (71%) were classroom teachers. Teaching experience was varied; respondents ranged from those in their Newly Qualified Teacher </w:t>
            </w:r>
            <w:r w:rsidR="001905AC">
              <w:rPr>
                <w:rFonts w:ascii="Cambria" w:hAnsi="Cambria"/>
                <w:sz w:val="20"/>
                <w:szCs w:val="20"/>
              </w:rPr>
              <w:t>(</w:t>
            </w:r>
            <w:r w:rsidRPr="00DC685F">
              <w:rPr>
                <w:rFonts w:ascii="Cambria" w:hAnsi="Cambria"/>
                <w:sz w:val="20"/>
                <w:szCs w:val="20"/>
              </w:rPr>
              <w:t>NQT) year, to individuals who had taught for several decades.</w:t>
            </w:r>
          </w:p>
          <w:p w14:paraId="4A206301" w14:textId="40105B3E" w:rsidR="00DC685F" w:rsidRPr="001905AC" w:rsidRDefault="00DC685F" w:rsidP="00DC685F">
            <w:pPr>
              <w:jc w:val="both"/>
              <w:rPr>
                <w:rFonts w:ascii="Cambria" w:hAnsi="Cambria"/>
                <w:b/>
                <w:sz w:val="20"/>
                <w:szCs w:val="20"/>
              </w:rPr>
            </w:pPr>
            <w:r w:rsidRPr="00DC685F">
              <w:rPr>
                <w:rFonts w:ascii="Cambria" w:hAnsi="Cambria"/>
                <w:b/>
                <w:sz w:val="20"/>
                <w:szCs w:val="20"/>
              </w:rPr>
              <w:t>Findings</w:t>
            </w:r>
          </w:p>
          <w:p w14:paraId="0D842031" w14:textId="19AF59E5" w:rsidR="00DC685F" w:rsidRPr="00DC685F" w:rsidRDefault="00DC685F" w:rsidP="00DC685F">
            <w:pPr>
              <w:jc w:val="both"/>
              <w:rPr>
                <w:rFonts w:ascii="Cambria" w:hAnsi="Cambria"/>
                <w:sz w:val="20"/>
                <w:szCs w:val="20"/>
              </w:rPr>
            </w:pPr>
            <w:r w:rsidRPr="00DC685F">
              <w:rPr>
                <w:rFonts w:ascii="Cambria" w:hAnsi="Cambria"/>
                <w:sz w:val="20"/>
                <w:szCs w:val="20"/>
              </w:rPr>
              <w:t>Respondents in the sample of sixth form colleges noted that the tasks that they undertake are not ‘unnecessary’ or ‘unproductive’, but the amount of work that is required within the time that they have creates the burden on their workload.</w:t>
            </w:r>
            <w:r w:rsidR="001905AC">
              <w:rPr>
                <w:rFonts w:ascii="Cambria" w:hAnsi="Cambria"/>
                <w:sz w:val="20"/>
                <w:szCs w:val="20"/>
              </w:rPr>
              <w:t xml:space="preserve"> </w:t>
            </w:r>
            <w:r w:rsidRPr="00DC685F">
              <w:rPr>
                <w:rFonts w:ascii="Cambria" w:hAnsi="Cambria"/>
                <w:sz w:val="20"/>
                <w:szCs w:val="20"/>
              </w:rPr>
              <w:t>The main reasons given for the burden on workload were:</w:t>
            </w:r>
          </w:p>
          <w:p w14:paraId="20D3A609" w14:textId="77777777" w:rsidR="00DC685F" w:rsidRPr="00DC685F" w:rsidRDefault="00DC685F" w:rsidP="00DC685F">
            <w:pPr>
              <w:jc w:val="both"/>
              <w:rPr>
                <w:rFonts w:ascii="Cambria" w:hAnsi="Cambria"/>
                <w:sz w:val="20"/>
                <w:szCs w:val="20"/>
              </w:rPr>
            </w:pPr>
            <w:r w:rsidRPr="00DC685F">
              <w:rPr>
                <w:rFonts w:ascii="Cambria" w:hAnsi="Cambria"/>
                <w:sz w:val="20"/>
                <w:szCs w:val="20"/>
              </w:rPr>
              <w:t>• Excessive level of detail (64%)</w:t>
            </w:r>
          </w:p>
          <w:p w14:paraId="5B94699B" w14:textId="67317E45" w:rsidR="00DC685F" w:rsidRDefault="00DC685F" w:rsidP="00DC685F">
            <w:pPr>
              <w:jc w:val="both"/>
              <w:rPr>
                <w:rFonts w:ascii="Cambria" w:hAnsi="Cambria"/>
                <w:sz w:val="20"/>
                <w:szCs w:val="20"/>
              </w:rPr>
            </w:pPr>
            <w:r w:rsidRPr="00DC685F">
              <w:rPr>
                <w:rFonts w:ascii="Cambria" w:hAnsi="Cambria"/>
                <w:sz w:val="20"/>
                <w:szCs w:val="20"/>
              </w:rPr>
              <w:t>• Amount of duplication (58%).</w:t>
            </w:r>
          </w:p>
          <w:p w14:paraId="70C61DDE" w14:textId="7B74B0B3" w:rsidR="00DC685F" w:rsidRDefault="00DC685F" w:rsidP="00DC685F">
            <w:pPr>
              <w:jc w:val="both"/>
              <w:rPr>
                <w:rFonts w:ascii="Cambria" w:hAnsi="Cambria"/>
                <w:sz w:val="20"/>
                <w:szCs w:val="20"/>
              </w:rPr>
            </w:pPr>
          </w:p>
          <w:p w14:paraId="46ABC853" w14:textId="4CABAE75" w:rsidR="00DC685F" w:rsidRPr="00DC685F" w:rsidRDefault="00DC685F" w:rsidP="00DC685F">
            <w:pPr>
              <w:jc w:val="both"/>
              <w:rPr>
                <w:rFonts w:ascii="Cambria" w:hAnsi="Cambria"/>
                <w:b/>
                <w:sz w:val="20"/>
                <w:szCs w:val="20"/>
              </w:rPr>
            </w:pPr>
            <w:r w:rsidRPr="00DC685F">
              <w:rPr>
                <w:rFonts w:ascii="Cambria" w:hAnsi="Cambria"/>
                <w:b/>
                <w:sz w:val="20"/>
                <w:szCs w:val="20"/>
              </w:rPr>
              <w:t>Limitations</w:t>
            </w:r>
          </w:p>
          <w:p w14:paraId="121D2876" w14:textId="77777777" w:rsidR="00DC685F" w:rsidRDefault="00DC685F" w:rsidP="00DC685F">
            <w:pPr>
              <w:jc w:val="both"/>
              <w:rPr>
                <w:rFonts w:ascii="Cambria" w:hAnsi="Cambria"/>
                <w:sz w:val="20"/>
                <w:szCs w:val="20"/>
              </w:rPr>
            </w:pPr>
            <w:r>
              <w:rPr>
                <w:rFonts w:ascii="Cambria" w:hAnsi="Cambria"/>
                <w:sz w:val="20"/>
                <w:szCs w:val="20"/>
              </w:rPr>
              <w:t>There were notable variations in solutions given to excessive workload between classroom teachers and middle leaders, indicating a need for communication across job roles to implement solutions that are accepted by everyone.</w:t>
            </w:r>
          </w:p>
          <w:p w14:paraId="105DF529" w14:textId="77777777" w:rsidR="00DC685F" w:rsidRDefault="00DC685F" w:rsidP="00DC685F">
            <w:pPr>
              <w:jc w:val="both"/>
              <w:rPr>
                <w:rFonts w:ascii="Cambria" w:hAnsi="Cambria"/>
                <w:sz w:val="20"/>
                <w:szCs w:val="20"/>
              </w:rPr>
            </w:pPr>
          </w:p>
          <w:p w14:paraId="6071F449" w14:textId="1BD9B02D" w:rsidR="00DC685F" w:rsidRPr="00FC7621" w:rsidRDefault="00DC685F" w:rsidP="00DC685F">
            <w:pPr>
              <w:jc w:val="both"/>
              <w:rPr>
                <w:rFonts w:ascii="Cambria" w:hAnsi="Cambria"/>
                <w:sz w:val="20"/>
                <w:szCs w:val="20"/>
              </w:rPr>
            </w:pPr>
            <w:r w:rsidRPr="00DC685F">
              <w:rPr>
                <w:rFonts w:ascii="Cambria" w:hAnsi="Cambria"/>
                <w:sz w:val="20"/>
                <w:szCs w:val="20"/>
              </w:rPr>
              <w:t xml:space="preserve">Gibson, S., Oliver, L. and Dennison, M. (2015) Workload Challenge: Analysis of teacher consultation responses. Department for Education. Accessible from: </w:t>
            </w:r>
            <w:hyperlink r:id="rId11" w:history="1">
              <w:r w:rsidRPr="0069720A">
                <w:rPr>
                  <w:rStyle w:val="Hyperlink"/>
                  <w:rFonts w:ascii="Cambria" w:hAnsi="Cambria"/>
                  <w:sz w:val="20"/>
                  <w:szCs w:val="20"/>
                </w:rPr>
                <w:t>https://assets.publishing.service.gov.uk/government/uploads/system/uploads/attachment_data/file/485075/DFE-RR456A_- Workload_Challenge_Analysis_of_teacher_consultation_responses_sixth_form_colleges.pdf</w:t>
              </w:r>
            </w:hyperlink>
            <w:r>
              <w:rPr>
                <w:rFonts w:ascii="Cambria" w:hAnsi="Cambria"/>
                <w:sz w:val="20"/>
                <w:szCs w:val="20"/>
              </w:rPr>
              <w:t xml:space="preserve"> </w:t>
            </w:r>
          </w:p>
        </w:tc>
      </w:tr>
      <w:tr w:rsidR="00733D3D" w:rsidRPr="00F07217" w14:paraId="0811EF35" w14:textId="77777777" w:rsidTr="00686A7B">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10E114CD" w14:textId="3B072985"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Support for mentoring in </w:t>
            </w:r>
            <w:r>
              <w:rPr>
                <w:rFonts w:ascii="Cambria" w:eastAsia="Georgia" w:hAnsi="Cambria" w:cs="Georgia"/>
                <w:b/>
                <w:sz w:val="20"/>
                <w:szCs w:val="20"/>
              </w:rPr>
              <w:t xml:space="preserve">the FE </w:t>
            </w:r>
            <w:proofErr w:type="gramStart"/>
            <w:r>
              <w:rPr>
                <w:rFonts w:ascii="Cambria" w:eastAsia="Georgia" w:hAnsi="Cambria" w:cs="Georgia"/>
                <w:b/>
                <w:sz w:val="20"/>
                <w:szCs w:val="20"/>
              </w:rPr>
              <w:t>phase</w:t>
            </w:r>
            <w:proofErr w:type="gramEnd"/>
          </w:p>
          <w:p w14:paraId="25E7C692" w14:textId="5858D2EF"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lastRenderedPageBreak/>
              <w:drawing>
                <wp:inline distT="0" distB="0" distL="0" distR="0" wp14:anchorId="62A0FE07" wp14:editId="553E3F43">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p w14:paraId="7314DB2E" w14:textId="0D8077E1" w:rsidR="00733D3D" w:rsidRPr="00523D39" w:rsidRDefault="00733D3D" w:rsidP="00733D3D">
            <w:pPr>
              <w:jc w:val="center"/>
              <w:rPr>
                <w:rFonts w:ascii="Cambria" w:hAnsi="Cambria"/>
                <w:b/>
                <w:bCs/>
                <w:sz w:val="20"/>
                <w:szCs w:val="20"/>
              </w:rPr>
            </w:pP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6B9A65FF" w14:textId="77777777" w:rsidR="00415B4F" w:rsidRDefault="00686A7B" w:rsidP="001905AC">
            <w:pPr>
              <w:spacing w:line="237" w:lineRule="auto"/>
              <w:rPr>
                <w:rFonts w:ascii="Cambria" w:hAnsi="Cambria" w:cstheme="minorHAnsi"/>
                <w:b/>
                <w:bCs/>
                <w:sz w:val="20"/>
                <w:szCs w:val="20"/>
              </w:rPr>
            </w:pPr>
            <w:r w:rsidRPr="00686A7B">
              <w:rPr>
                <w:rFonts w:ascii="Cambria" w:hAnsi="Cambria" w:cstheme="minorHAnsi"/>
                <w:b/>
                <w:bCs/>
                <w:sz w:val="20"/>
                <w:szCs w:val="20"/>
              </w:rPr>
              <w:lastRenderedPageBreak/>
              <w:t xml:space="preserve">Support for mentoring in the FE </w:t>
            </w:r>
            <w:proofErr w:type="gramStart"/>
            <w:r w:rsidRPr="00686A7B">
              <w:rPr>
                <w:rFonts w:ascii="Cambria" w:hAnsi="Cambria" w:cstheme="minorHAnsi"/>
                <w:b/>
                <w:bCs/>
                <w:sz w:val="20"/>
                <w:szCs w:val="20"/>
              </w:rPr>
              <w:t>phas</w:t>
            </w:r>
            <w:r w:rsidR="00415B4F">
              <w:rPr>
                <w:rFonts w:ascii="Cambria" w:hAnsi="Cambria" w:cstheme="minorHAnsi"/>
                <w:b/>
                <w:bCs/>
                <w:sz w:val="20"/>
                <w:szCs w:val="20"/>
              </w:rPr>
              <w:t>e</w:t>
            </w:r>
            <w:proofErr w:type="gramEnd"/>
          </w:p>
          <w:p w14:paraId="07EF9123" w14:textId="109CD4BF" w:rsidR="00686A7B" w:rsidRPr="00686A7B" w:rsidRDefault="00686A7B" w:rsidP="001905AC">
            <w:pPr>
              <w:spacing w:line="237" w:lineRule="auto"/>
              <w:rPr>
                <w:rFonts w:ascii="Cambria" w:hAnsi="Cambria" w:cstheme="minorHAnsi"/>
                <w:b/>
                <w:bCs/>
                <w:sz w:val="20"/>
                <w:szCs w:val="20"/>
              </w:rPr>
            </w:pPr>
            <w:r w:rsidRPr="00686A7B">
              <w:rPr>
                <w:rFonts w:ascii="Cambria" w:hAnsi="Cambria" w:cstheme="minorHAnsi"/>
                <w:b/>
                <w:bCs/>
                <w:sz w:val="20"/>
                <w:szCs w:val="20"/>
              </w:rPr>
              <w:t xml:space="preserve">This link from ETF shows how effective assessment and feedback can take place. </w:t>
            </w:r>
          </w:p>
          <w:p w14:paraId="0C9F9B99" w14:textId="66CE98F5" w:rsidR="00686A7B" w:rsidRPr="00686A7B" w:rsidRDefault="00000000" w:rsidP="001905AC">
            <w:pPr>
              <w:spacing w:line="237" w:lineRule="auto"/>
              <w:rPr>
                <w:rFonts w:ascii="Cambria" w:hAnsi="Cambria" w:cstheme="minorHAnsi"/>
                <w:b/>
                <w:bCs/>
                <w:sz w:val="20"/>
                <w:szCs w:val="20"/>
              </w:rPr>
            </w:pPr>
            <w:hyperlink r:id="rId13" w:history="1">
              <w:r w:rsidR="00415B4F" w:rsidRPr="00C34193">
                <w:rPr>
                  <w:rStyle w:val="Hyperlink"/>
                  <w:rFonts w:ascii="Cambria" w:hAnsi="Cambria" w:cstheme="minorHAnsi"/>
                  <w:b/>
                  <w:bCs/>
                  <w:sz w:val="20"/>
                  <w:szCs w:val="20"/>
                </w:rPr>
                <w:t>https://www.et-foundation.co.uk/professional-development/maths-and-english/effective-practice-guidelines/</w:t>
              </w:r>
            </w:hyperlink>
            <w:r w:rsidR="00415B4F">
              <w:rPr>
                <w:rFonts w:ascii="Cambria" w:hAnsi="Cambria" w:cstheme="minorHAnsi"/>
                <w:b/>
                <w:bCs/>
                <w:sz w:val="20"/>
                <w:szCs w:val="20"/>
              </w:rPr>
              <w:t xml:space="preserve"> </w:t>
            </w:r>
          </w:p>
          <w:p w14:paraId="6220F2AE" w14:textId="77777777" w:rsidR="00686A7B" w:rsidRPr="00686A7B" w:rsidRDefault="00686A7B" w:rsidP="001905AC">
            <w:pPr>
              <w:spacing w:line="237" w:lineRule="auto"/>
              <w:rPr>
                <w:rFonts w:ascii="Cambria" w:hAnsi="Cambria" w:cstheme="minorHAnsi"/>
                <w:b/>
                <w:bCs/>
                <w:sz w:val="20"/>
                <w:szCs w:val="20"/>
              </w:rPr>
            </w:pPr>
          </w:p>
          <w:p w14:paraId="250ADC99" w14:textId="77186B16" w:rsidR="00686A7B" w:rsidRPr="00686A7B" w:rsidRDefault="00686A7B" w:rsidP="001905AC">
            <w:pPr>
              <w:spacing w:line="237" w:lineRule="auto"/>
              <w:rPr>
                <w:rFonts w:ascii="Cambria" w:hAnsi="Cambria" w:cstheme="minorHAnsi"/>
                <w:b/>
                <w:bCs/>
                <w:sz w:val="20"/>
                <w:szCs w:val="20"/>
              </w:rPr>
            </w:pPr>
            <w:r w:rsidRPr="00686A7B">
              <w:rPr>
                <w:rFonts w:ascii="Cambria" w:hAnsi="Cambria" w:cstheme="minorHAnsi"/>
                <w:b/>
                <w:bCs/>
                <w:sz w:val="20"/>
                <w:szCs w:val="20"/>
              </w:rPr>
              <w:t xml:space="preserve">This link from the EEF looks at the power of feedback and how effective it is by closing the gap with disadvantaged </w:t>
            </w:r>
            <w:proofErr w:type="gramStart"/>
            <w:r w:rsidRPr="00686A7B">
              <w:rPr>
                <w:rFonts w:ascii="Cambria" w:hAnsi="Cambria" w:cstheme="minorHAnsi"/>
                <w:b/>
                <w:bCs/>
                <w:sz w:val="20"/>
                <w:szCs w:val="20"/>
              </w:rPr>
              <w:t xml:space="preserve">students </w:t>
            </w:r>
            <w:r w:rsidR="001905AC">
              <w:rPr>
                <w:rFonts w:ascii="Cambria" w:hAnsi="Cambria" w:cstheme="minorHAnsi"/>
                <w:b/>
                <w:bCs/>
                <w:sz w:val="20"/>
                <w:szCs w:val="20"/>
              </w:rPr>
              <w:t>.</w:t>
            </w:r>
            <w:proofErr w:type="gramEnd"/>
          </w:p>
          <w:p w14:paraId="02295E43" w14:textId="5E5ABEE8" w:rsidR="004550FF" w:rsidRPr="00ED58B5" w:rsidRDefault="00000000" w:rsidP="001905AC">
            <w:pPr>
              <w:rPr>
                <w:rFonts w:asciiTheme="minorHAnsi" w:hAnsiTheme="minorHAnsi" w:cstheme="minorHAnsi"/>
                <w:color w:val="0563C1"/>
                <w:u w:val="single"/>
              </w:rPr>
            </w:pPr>
            <w:hyperlink r:id="rId14" w:history="1">
              <w:r w:rsidR="00415B4F" w:rsidRPr="00C34193">
                <w:rPr>
                  <w:rStyle w:val="Hyperlink"/>
                  <w:rFonts w:ascii="Cambria" w:hAnsi="Cambria" w:cstheme="minorHAnsi"/>
                  <w:b/>
                  <w:bCs/>
                  <w:sz w:val="20"/>
                  <w:szCs w:val="20"/>
                </w:rPr>
                <w:t>https://educationendowmentfoundation.org.uk/education-evidence/teaching-learning-toolkit/feedback</w:t>
              </w:r>
            </w:hyperlink>
            <w:r w:rsidR="00415B4F">
              <w:rPr>
                <w:rFonts w:ascii="Cambria" w:hAnsi="Cambria" w:cstheme="minorHAnsi"/>
                <w:b/>
                <w:bCs/>
                <w:sz w:val="20"/>
                <w:szCs w:val="20"/>
              </w:rPr>
              <w:t xml:space="preserve"> </w:t>
            </w:r>
          </w:p>
        </w:tc>
      </w:tr>
      <w:tr w:rsidR="00733D3D" w:rsidRPr="00F07217" w14:paraId="242BC6CD" w14:textId="77777777" w:rsidTr="00686A7B">
        <w:trPr>
          <w:trHeight w:val="554"/>
        </w:trPr>
        <w:tc>
          <w:tcPr>
            <w:tcW w:w="1461" w:type="dxa"/>
            <w:vMerge w:val="restart"/>
            <w:tcBorders>
              <w:top w:val="single" w:sz="4" w:space="0" w:color="auto"/>
              <w:left w:val="single" w:sz="4" w:space="0" w:color="auto"/>
              <w:right w:val="single" w:sz="4" w:space="0" w:color="auto"/>
            </w:tcBorders>
          </w:tcPr>
          <w:p w14:paraId="22257974" w14:textId="53252047" w:rsidR="00733D3D" w:rsidRPr="00523D39" w:rsidRDefault="00733D3D" w:rsidP="00733D3D">
            <w:pPr>
              <w:spacing w:line="237" w:lineRule="auto"/>
              <w:jc w:val="center"/>
              <w:rPr>
                <w:rFonts w:ascii="Cambria" w:hAnsi="Cambria"/>
                <w:b/>
                <w:bCs/>
                <w:sz w:val="20"/>
                <w:szCs w:val="20"/>
              </w:rPr>
            </w:pPr>
          </w:p>
          <w:p w14:paraId="323B0429" w14:textId="77777777" w:rsidR="00733D3D" w:rsidRPr="00523D39" w:rsidRDefault="00733D3D" w:rsidP="00733D3D">
            <w:pPr>
              <w:spacing w:line="237" w:lineRule="auto"/>
              <w:jc w:val="center"/>
              <w:rPr>
                <w:rFonts w:ascii="Cambria" w:hAnsi="Cambria"/>
                <w:b/>
                <w:bCs/>
                <w:sz w:val="20"/>
                <w:szCs w:val="20"/>
              </w:rPr>
            </w:pPr>
          </w:p>
          <w:p w14:paraId="794A60FE" w14:textId="12B12DE9" w:rsidR="00733D3D" w:rsidRPr="00523D39" w:rsidRDefault="00733D3D" w:rsidP="00733D3D">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733D3D" w:rsidRPr="00523D39" w:rsidRDefault="00733D3D" w:rsidP="00733D3D">
            <w:pPr>
              <w:rPr>
                <w:rFonts w:ascii="Cambria" w:hAnsi="Cambria"/>
                <w:sz w:val="20"/>
                <w:szCs w:val="20"/>
              </w:rPr>
            </w:pPr>
            <w:r w:rsidRPr="00523D39">
              <w:rPr>
                <w:rFonts w:ascii="Cambria" w:eastAsia="Georgia" w:hAnsi="Cambria" w:cs="Georgia"/>
                <w:sz w:val="20"/>
                <w:szCs w:val="20"/>
              </w:rPr>
              <w:t xml:space="preserve"> </w:t>
            </w:r>
          </w:p>
          <w:p w14:paraId="56739CEE" w14:textId="2D653E4C" w:rsidR="00733D3D" w:rsidRPr="00523D39" w:rsidRDefault="00733D3D" w:rsidP="00733D3D">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0E7E73C3" w14:textId="3E44AEE5" w:rsidR="00733D3D" w:rsidRPr="00523D39" w:rsidRDefault="00733D3D" w:rsidP="00733D3D">
            <w:pPr>
              <w:jc w:val="center"/>
              <w:rPr>
                <w:rFonts w:ascii="Cambria" w:hAnsi="Cambria"/>
                <w:b/>
                <w:bCs/>
                <w:sz w:val="20"/>
                <w:szCs w:val="20"/>
              </w:rPr>
            </w:pPr>
          </w:p>
        </w:tc>
      </w:tr>
      <w:tr w:rsidR="00733D3D" w:rsidRPr="00F07217" w14:paraId="75C24513" w14:textId="77777777" w:rsidTr="00686A7B">
        <w:trPr>
          <w:trHeight w:val="968"/>
        </w:trPr>
        <w:tc>
          <w:tcPr>
            <w:tcW w:w="1461" w:type="dxa"/>
            <w:vMerge/>
            <w:tcBorders>
              <w:left w:val="single" w:sz="4" w:space="0" w:color="auto"/>
              <w:right w:val="single" w:sz="4" w:space="0" w:color="auto"/>
            </w:tcBorders>
          </w:tcPr>
          <w:p w14:paraId="38A28802"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3B6A5EB6" w14:textId="77777777" w:rsidR="00DC685F" w:rsidRPr="00DC685F" w:rsidRDefault="00DC685F" w:rsidP="00DC685F">
            <w:pPr>
              <w:rPr>
                <w:rFonts w:ascii="Cambria" w:hAnsi="Cambria"/>
                <w:b/>
                <w:bCs/>
                <w:color w:val="auto"/>
                <w:szCs w:val="20"/>
                <w:shd w:val="clear" w:color="auto" w:fill="FFFFFF"/>
              </w:rPr>
            </w:pPr>
            <w:r w:rsidRPr="00DC685F">
              <w:rPr>
                <w:rFonts w:ascii="Cambria" w:hAnsi="Cambria"/>
                <w:b/>
                <w:bCs/>
                <w:color w:val="auto"/>
                <w:szCs w:val="20"/>
                <w:shd w:val="clear" w:color="auto" w:fill="FFFFFF"/>
              </w:rPr>
              <w:t>1.How to prioritise the marking of errors relating to misunderstandings / misconceptions and why such a strategy is more effective for learning in that subject</w:t>
            </w:r>
          </w:p>
          <w:p w14:paraId="7AC0317F" w14:textId="77777777" w:rsidR="00DC685F" w:rsidRPr="00DC685F" w:rsidRDefault="00DC685F" w:rsidP="00DC685F">
            <w:pPr>
              <w:rPr>
                <w:rFonts w:ascii="Cambria" w:hAnsi="Cambria"/>
                <w:b/>
                <w:bCs/>
                <w:color w:val="auto"/>
                <w:szCs w:val="20"/>
                <w:shd w:val="clear" w:color="auto" w:fill="FFFFFF"/>
              </w:rPr>
            </w:pPr>
            <w:r w:rsidRPr="00DC685F">
              <w:rPr>
                <w:rFonts w:ascii="Cambria" w:hAnsi="Cambria"/>
                <w:b/>
                <w:bCs/>
                <w:color w:val="auto"/>
                <w:szCs w:val="20"/>
                <w:shd w:val="clear" w:color="auto" w:fill="FFFFFF"/>
              </w:rPr>
              <w:t xml:space="preserve">2.How to provide feedback which considers the range of factors which can impact on learners’ understanding of the feedback. </w:t>
            </w:r>
          </w:p>
          <w:p w14:paraId="4E488AE5" w14:textId="3A37DCFB" w:rsidR="00B957C3" w:rsidRPr="00E87C70" w:rsidRDefault="00DC685F" w:rsidP="00DC685F">
            <w:pPr>
              <w:rPr>
                <w:rFonts w:ascii="Cambria" w:hAnsi="Cambria"/>
                <w:b/>
                <w:bCs/>
                <w:color w:val="auto"/>
                <w:sz w:val="20"/>
                <w:szCs w:val="20"/>
                <w:shd w:val="clear" w:color="auto" w:fill="FFFFFF"/>
              </w:rPr>
            </w:pPr>
            <w:r w:rsidRPr="00DC685F">
              <w:rPr>
                <w:rFonts w:ascii="Cambria" w:hAnsi="Cambria"/>
                <w:b/>
                <w:bCs/>
                <w:color w:val="auto"/>
                <w:szCs w:val="20"/>
                <w:shd w:val="clear" w:color="auto" w:fill="FFFFFF"/>
              </w:rPr>
              <w:t>3. How to utilise external materials (such as specifications or examiners reports) to assist with providing accurate assessment and feedback to learners in line with external benchmarking (such as GCSE, BTEC, or A level requirements).</w:t>
            </w:r>
          </w:p>
        </w:tc>
        <w:tc>
          <w:tcPr>
            <w:tcW w:w="552" w:type="dxa"/>
            <w:tcBorders>
              <w:top w:val="single" w:sz="4" w:space="0" w:color="auto"/>
              <w:left w:val="single" w:sz="4" w:space="0" w:color="auto"/>
              <w:bottom w:val="single" w:sz="4" w:space="0" w:color="auto"/>
              <w:right w:val="single" w:sz="4" w:space="0" w:color="auto"/>
            </w:tcBorders>
          </w:tcPr>
          <w:p w14:paraId="500548AF" w14:textId="77CFB45A" w:rsidR="00733D3D" w:rsidRPr="00523D39" w:rsidRDefault="00733D3D" w:rsidP="00733D3D">
            <w:pPr>
              <w:jc w:val="center"/>
              <w:rPr>
                <w:rFonts w:ascii="Cambria" w:hAnsi="Cambria"/>
                <w:sz w:val="20"/>
                <w:szCs w:val="20"/>
              </w:rPr>
            </w:pPr>
          </w:p>
        </w:tc>
      </w:tr>
      <w:tr w:rsidR="00733D3D" w:rsidRPr="00F07217" w14:paraId="365EFF71" w14:textId="77777777" w:rsidTr="00686A7B">
        <w:trPr>
          <w:trHeight w:val="152"/>
        </w:trPr>
        <w:tc>
          <w:tcPr>
            <w:tcW w:w="1461" w:type="dxa"/>
            <w:vMerge/>
            <w:tcBorders>
              <w:left w:val="single" w:sz="4" w:space="0" w:color="auto"/>
              <w:right w:val="single" w:sz="4" w:space="0" w:color="auto"/>
            </w:tcBorders>
          </w:tcPr>
          <w:p w14:paraId="39E4C718"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18B6C2E1" w14:textId="115AA463" w:rsidR="00733D3D" w:rsidRPr="00523D39" w:rsidRDefault="00733D3D" w:rsidP="00733D3D">
            <w:pPr>
              <w:jc w:val="center"/>
              <w:rPr>
                <w:rFonts w:ascii="Cambria" w:hAnsi="Cambria"/>
                <w:b/>
                <w:bCs/>
                <w:sz w:val="20"/>
                <w:szCs w:val="20"/>
              </w:rPr>
            </w:pPr>
          </w:p>
        </w:tc>
      </w:tr>
      <w:tr w:rsidR="00733D3D" w:rsidRPr="00F07217" w14:paraId="0B2BB01B" w14:textId="77777777" w:rsidTr="00686A7B">
        <w:trPr>
          <w:trHeight w:val="152"/>
        </w:trPr>
        <w:tc>
          <w:tcPr>
            <w:tcW w:w="1461" w:type="dxa"/>
            <w:vMerge/>
            <w:tcBorders>
              <w:left w:val="single" w:sz="4" w:space="0" w:color="auto"/>
              <w:bottom w:val="single" w:sz="4" w:space="0" w:color="auto"/>
              <w:right w:val="single" w:sz="4" w:space="0" w:color="auto"/>
            </w:tcBorders>
          </w:tcPr>
          <w:p w14:paraId="6816228A"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02C60F55" w14:textId="77777777" w:rsidR="00DC685F" w:rsidRPr="00DC685F" w:rsidRDefault="00DC685F" w:rsidP="00DC685F">
            <w:pPr>
              <w:rPr>
                <w:rFonts w:ascii="Cambria" w:hAnsi="Cambria"/>
                <w:b/>
              </w:rPr>
            </w:pPr>
            <w:r w:rsidRPr="00DC685F">
              <w:rPr>
                <w:rFonts w:ascii="Cambria" w:hAnsi="Cambria"/>
                <w:b/>
              </w:rPr>
              <w:t>1. Carry out summative assessment with colleagues in setting and know that using verbal feedback during lessons in place of written feedback after lessons will reduce workload.</w:t>
            </w:r>
          </w:p>
          <w:p w14:paraId="0346D101" w14:textId="77777777" w:rsidR="00DC685F" w:rsidRPr="00DC685F" w:rsidRDefault="00DC685F" w:rsidP="00DC685F">
            <w:pPr>
              <w:rPr>
                <w:rFonts w:ascii="Cambria" w:hAnsi="Cambria"/>
                <w:b/>
              </w:rPr>
            </w:pPr>
            <w:r w:rsidRPr="00DC685F">
              <w:rPr>
                <w:rFonts w:ascii="Cambria" w:hAnsi="Cambria"/>
                <w:b/>
              </w:rPr>
              <w:t xml:space="preserve">2. Utilise the opportunity of marking using abbreviations and codes in written feedback. </w:t>
            </w:r>
          </w:p>
          <w:p w14:paraId="3437E904" w14:textId="4ECCC26A" w:rsidR="00A26FEA" w:rsidRPr="00225BB8" w:rsidRDefault="00DC685F" w:rsidP="00DC685F">
            <w:pPr>
              <w:rPr>
                <w:rFonts w:ascii="Cambria" w:hAnsi="Cambria"/>
              </w:rPr>
            </w:pPr>
            <w:r w:rsidRPr="00DC685F">
              <w:rPr>
                <w:rFonts w:ascii="Cambria" w:hAnsi="Cambria"/>
                <w:b/>
              </w:rPr>
              <w:t>3. Use feedforward techniques (Goldsmith, 2012) ensuring they are specific, with measurable actions, providing time for learners to respond to the information given.</w:t>
            </w:r>
          </w:p>
        </w:tc>
        <w:tc>
          <w:tcPr>
            <w:tcW w:w="552" w:type="dxa"/>
            <w:tcBorders>
              <w:top w:val="single" w:sz="4" w:space="0" w:color="auto"/>
              <w:left w:val="single" w:sz="4" w:space="0" w:color="auto"/>
              <w:bottom w:val="single" w:sz="4" w:space="0" w:color="auto"/>
              <w:right w:val="single" w:sz="4" w:space="0" w:color="auto"/>
            </w:tcBorders>
          </w:tcPr>
          <w:p w14:paraId="5FF312F8" w14:textId="4FF7F099" w:rsidR="00733D3D" w:rsidRPr="00523D39" w:rsidRDefault="00733D3D" w:rsidP="00733D3D">
            <w:pPr>
              <w:jc w:val="center"/>
              <w:rPr>
                <w:rFonts w:ascii="Cambria" w:hAnsi="Cambria"/>
                <w:b/>
                <w:bCs/>
                <w:sz w:val="20"/>
                <w:szCs w:val="20"/>
              </w:rPr>
            </w:pPr>
          </w:p>
        </w:tc>
      </w:tr>
      <w:tr w:rsidR="00733D3D" w:rsidRPr="00F07217" w14:paraId="3CEA7B26" w14:textId="77777777" w:rsidTr="00686A7B">
        <w:trPr>
          <w:trHeight w:val="2380"/>
        </w:trPr>
        <w:tc>
          <w:tcPr>
            <w:tcW w:w="1461" w:type="dxa"/>
            <w:tcBorders>
              <w:top w:val="single" w:sz="4" w:space="0" w:color="auto"/>
              <w:left w:val="single" w:sz="4" w:space="0" w:color="auto"/>
              <w:bottom w:val="single" w:sz="4" w:space="0" w:color="auto"/>
              <w:right w:val="single" w:sz="4" w:space="0" w:color="auto"/>
            </w:tcBorders>
          </w:tcPr>
          <w:p w14:paraId="2B69B659" w14:textId="42685D17" w:rsidR="00733D3D" w:rsidRPr="00523D39" w:rsidRDefault="00733D3D" w:rsidP="00733D3D">
            <w:pPr>
              <w:spacing w:line="237" w:lineRule="auto"/>
              <w:jc w:val="center"/>
              <w:rPr>
                <w:rFonts w:ascii="Cambria" w:eastAsia="Georgia" w:hAnsi="Cambria" w:cs="Georgia"/>
                <w:b/>
                <w:sz w:val="20"/>
                <w:szCs w:val="20"/>
              </w:rPr>
            </w:pPr>
            <w:bookmarkStart w:id="1" w:name="_Hlk143779062"/>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tcPr>
          <w:p w14:paraId="577E856C" w14:textId="3D1349DE" w:rsidR="00DC685F" w:rsidRPr="001905AC" w:rsidRDefault="00DC685F" w:rsidP="00733D3D">
            <w:pPr>
              <w:pBdr>
                <w:top w:val="nil"/>
                <w:left w:val="nil"/>
                <w:bottom w:val="nil"/>
                <w:right w:val="nil"/>
                <w:between w:val="nil"/>
              </w:pBdr>
              <w:jc w:val="both"/>
              <w:rPr>
                <w:rFonts w:asciiTheme="minorHAnsi" w:hAnsiTheme="minorHAnsi" w:cstheme="minorHAnsi"/>
                <w:b/>
                <w:bCs/>
                <w:color w:val="auto"/>
                <w:highlight w:val="yellow"/>
              </w:rPr>
            </w:pPr>
            <w:r w:rsidRPr="001905AC">
              <w:rPr>
                <w:rFonts w:asciiTheme="minorHAnsi" w:hAnsiTheme="minorHAnsi" w:cstheme="minorHAnsi"/>
                <w:b/>
                <w:bCs/>
                <w:color w:val="auto"/>
              </w:rPr>
              <w:t>1.How effective is your written feedback to learners? To what extent to you focus on correct misconceptions rather than careless mistakes?</w:t>
            </w:r>
          </w:p>
          <w:p w14:paraId="2FCBDA67" w14:textId="09D8A6AA" w:rsidR="00733D3D" w:rsidRDefault="00733D3D" w:rsidP="00733D3D">
            <w:pPr>
              <w:pBdr>
                <w:top w:val="nil"/>
                <w:left w:val="nil"/>
                <w:bottom w:val="nil"/>
                <w:right w:val="nil"/>
                <w:between w:val="nil"/>
              </w:pBdr>
              <w:jc w:val="both"/>
              <w:rPr>
                <w:rFonts w:asciiTheme="minorHAnsi" w:hAnsiTheme="minorHAnsi" w:cstheme="minorHAnsi"/>
                <w:b/>
                <w:bCs/>
                <w:color w:val="auto"/>
                <w:highlight w:val="yellow"/>
              </w:rPr>
            </w:pPr>
            <w:r w:rsidRPr="00856769">
              <w:rPr>
                <w:rFonts w:asciiTheme="minorHAnsi" w:hAnsiTheme="minorHAnsi" w:cstheme="minorHAnsi"/>
                <w:b/>
                <w:bCs/>
                <w:color w:val="auto"/>
                <w:highlight w:val="yellow"/>
                <w:u w:val="single"/>
              </w:rPr>
              <w:t>Mentor summary of trainee response</w:t>
            </w:r>
            <w:r w:rsidRPr="00856769">
              <w:rPr>
                <w:rFonts w:asciiTheme="minorHAnsi" w:hAnsiTheme="minorHAnsi" w:cstheme="minorHAnsi"/>
                <w:b/>
                <w:bCs/>
                <w:color w:val="auto"/>
                <w:highlight w:val="yellow"/>
              </w:rPr>
              <w:t>:</w:t>
            </w:r>
          </w:p>
          <w:p w14:paraId="016B932F" w14:textId="79CB562F" w:rsidR="0072228E" w:rsidRDefault="0072228E" w:rsidP="00733D3D">
            <w:pPr>
              <w:pBdr>
                <w:top w:val="nil"/>
                <w:left w:val="nil"/>
                <w:bottom w:val="nil"/>
                <w:right w:val="nil"/>
                <w:between w:val="nil"/>
              </w:pBdr>
              <w:jc w:val="both"/>
              <w:rPr>
                <w:rFonts w:asciiTheme="minorHAnsi" w:hAnsiTheme="minorHAnsi" w:cstheme="minorHAnsi"/>
                <w:b/>
                <w:bCs/>
                <w:color w:val="auto"/>
              </w:rPr>
            </w:pPr>
          </w:p>
          <w:p w14:paraId="08B64A54" w14:textId="6956002B" w:rsidR="00DC685F" w:rsidRDefault="00DC685F" w:rsidP="00733D3D">
            <w:pPr>
              <w:pBdr>
                <w:top w:val="nil"/>
                <w:left w:val="nil"/>
                <w:bottom w:val="nil"/>
                <w:right w:val="nil"/>
                <w:between w:val="nil"/>
              </w:pBdr>
              <w:jc w:val="both"/>
              <w:rPr>
                <w:rFonts w:asciiTheme="minorHAnsi" w:hAnsiTheme="minorHAnsi" w:cstheme="minorHAnsi"/>
                <w:b/>
                <w:bCs/>
                <w:color w:val="auto"/>
              </w:rPr>
            </w:pPr>
            <w:r w:rsidRPr="00DC685F">
              <w:rPr>
                <w:rFonts w:asciiTheme="minorHAnsi" w:hAnsiTheme="minorHAnsi" w:cstheme="minorHAnsi"/>
                <w:b/>
                <w:bCs/>
                <w:color w:val="auto"/>
              </w:rPr>
              <w:t>2.How has your understanding of summative assessment practice developed? Think specifically about those which prepare learners for GCSE /A level / BTEC outcomes.</w:t>
            </w:r>
          </w:p>
          <w:p w14:paraId="22BB80EE" w14:textId="16FA2C72" w:rsidR="00733D3D" w:rsidRDefault="00733D3D" w:rsidP="00733D3D">
            <w:pPr>
              <w:pBdr>
                <w:top w:val="nil"/>
                <w:left w:val="nil"/>
                <w:bottom w:val="nil"/>
                <w:right w:val="nil"/>
                <w:between w:val="nil"/>
              </w:pBdr>
              <w:jc w:val="both"/>
              <w:rPr>
                <w:rFonts w:asciiTheme="minorHAnsi" w:hAnsiTheme="minorHAnsi" w:cstheme="minorHAnsi"/>
                <w:b/>
                <w:bCs/>
                <w:color w:val="auto"/>
                <w:highlight w:val="yellow"/>
                <w:u w:val="single"/>
              </w:rPr>
            </w:pPr>
            <w:r w:rsidRPr="00856769">
              <w:rPr>
                <w:rFonts w:asciiTheme="minorHAnsi" w:hAnsiTheme="minorHAnsi" w:cstheme="minorHAnsi"/>
                <w:b/>
                <w:bCs/>
                <w:color w:val="auto"/>
                <w:highlight w:val="yellow"/>
                <w:u w:val="single"/>
              </w:rPr>
              <w:t>Mentor summary of trainee response:</w:t>
            </w:r>
          </w:p>
          <w:p w14:paraId="1687D800" w14:textId="235158CD" w:rsidR="0072228E" w:rsidRDefault="0072228E" w:rsidP="00733D3D">
            <w:pPr>
              <w:pBdr>
                <w:top w:val="nil"/>
                <w:left w:val="nil"/>
                <w:bottom w:val="nil"/>
                <w:right w:val="nil"/>
                <w:between w:val="nil"/>
              </w:pBdr>
              <w:jc w:val="both"/>
              <w:rPr>
                <w:rFonts w:asciiTheme="minorHAnsi" w:hAnsiTheme="minorHAnsi" w:cstheme="minorHAnsi"/>
                <w:b/>
                <w:bCs/>
                <w:color w:val="auto"/>
                <w:u w:val="single"/>
              </w:rPr>
            </w:pPr>
          </w:p>
          <w:p w14:paraId="02C86886" w14:textId="2DE72F64" w:rsidR="00DC685F" w:rsidRPr="001905AC" w:rsidRDefault="00DC685F" w:rsidP="00733D3D">
            <w:pPr>
              <w:pBdr>
                <w:top w:val="nil"/>
                <w:left w:val="nil"/>
                <w:bottom w:val="nil"/>
                <w:right w:val="nil"/>
                <w:between w:val="nil"/>
              </w:pBdr>
              <w:jc w:val="both"/>
              <w:rPr>
                <w:rFonts w:asciiTheme="minorHAnsi" w:hAnsiTheme="minorHAnsi" w:cstheme="minorHAnsi"/>
                <w:b/>
                <w:bCs/>
                <w:color w:val="auto"/>
              </w:rPr>
            </w:pPr>
            <w:r w:rsidRPr="001905AC">
              <w:rPr>
                <w:rFonts w:asciiTheme="minorHAnsi" w:hAnsiTheme="minorHAnsi" w:cstheme="minorHAnsi"/>
                <w:b/>
                <w:bCs/>
                <w:color w:val="auto"/>
              </w:rPr>
              <w:t>3.Reflect on a lesson you taught this week. How did you ensure it was delivered so that it built on prior knowledge and prepared learners for the next step?</w:t>
            </w:r>
          </w:p>
          <w:p w14:paraId="2F73181B" w14:textId="5A67ECEF" w:rsidR="00733D3D" w:rsidRPr="00856769" w:rsidRDefault="00733D3D" w:rsidP="00733D3D">
            <w:pPr>
              <w:pBdr>
                <w:top w:val="nil"/>
                <w:left w:val="nil"/>
                <w:bottom w:val="nil"/>
                <w:right w:val="nil"/>
                <w:between w:val="nil"/>
              </w:pBdr>
              <w:jc w:val="both"/>
              <w:rPr>
                <w:rFonts w:asciiTheme="minorHAnsi" w:hAnsiTheme="minorHAnsi" w:cstheme="minorHAnsi"/>
                <w:b/>
                <w:bCs/>
                <w:color w:val="auto"/>
              </w:rPr>
            </w:pPr>
            <w:r w:rsidRPr="00856769">
              <w:rPr>
                <w:rFonts w:asciiTheme="minorHAnsi" w:hAnsiTheme="minorHAnsi" w:cstheme="minorHAnsi"/>
                <w:b/>
                <w:bCs/>
                <w:color w:val="auto"/>
                <w:highlight w:val="yellow"/>
                <w:u w:val="single"/>
              </w:rPr>
              <w:t>Mentor summary of trainee response</w:t>
            </w:r>
            <w:r w:rsidRPr="00856769">
              <w:rPr>
                <w:rFonts w:asciiTheme="minorHAnsi" w:hAnsiTheme="minorHAnsi" w:cstheme="minorHAnsi"/>
                <w:b/>
                <w:bCs/>
                <w:color w:val="auto"/>
                <w:highlight w:val="yellow"/>
              </w:rPr>
              <w:t>:</w:t>
            </w:r>
          </w:p>
          <w:p w14:paraId="2979F419" w14:textId="77777777" w:rsidR="00733D3D" w:rsidRPr="00DD66EA" w:rsidRDefault="00733D3D" w:rsidP="00733D3D">
            <w:pPr>
              <w:pBdr>
                <w:top w:val="nil"/>
                <w:left w:val="nil"/>
                <w:bottom w:val="nil"/>
                <w:right w:val="nil"/>
                <w:between w:val="nil"/>
              </w:pBdr>
              <w:jc w:val="both"/>
              <w:rPr>
                <w:rFonts w:ascii="Cambria" w:hAnsi="Cambria"/>
                <w:b/>
                <w:bCs/>
                <w:color w:val="FF0000"/>
                <w:sz w:val="20"/>
                <w:szCs w:val="20"/>
              </w:rPr>
            </w:pPr>
          </w:p>
          <w:p w14:paraId="11852BB5" w14:textId="16F83746" w:rsidR="00733D3D" w:rsidRPr="00523D39" w:rsidRDefault="00733D3D" w:rsidP="00733D3D">
            <w:pPr>
              <w:pBdr>
                <w:top w:val="nil"/>
                <w:left w:val="nil"/>
                <w:bottom w:val="nil"/>
                <w:right w:val="nil"/>
                <w:between w:val="nil"/>
              </w:pBdr>
              <w:jc w:val="both"/>
              <w:rPr>
                <w:rFonts w:ascii="Cambria" w:hAnsi="Cambria"/>
                <w:sz w:val="20"/>
                <w:szCs w:val="20"/>
              </w:rPr>
            </w:pPr>
          </w:p>
        </w:tc>
      </w:tr>
      <w:bookmarkEnd w:id="1"/>
      <w:tr w:rsidR="00733D3D" w:rsidRPr="00F31A2E" w14:paraId="69758A50" w14:textId="77777777" w:rsidTr="00686A7B">
        <w:trPr>
          <w:trHeight w:val="1676"/>
        </w:trPr>
        <w:tc>
          <w:tcPr>
            <w:tcW w:w="1461" w:type="dxa"/>
            <w:tcBorders>
              <w:top w:val="single" w:sz="4" w:space="0" w:color="auto"/>
              <w:left w:val="single" w:sz="4" w:space="0" w:color="auto"/>
              <w:bottom w:val="single" w:sz="4" w:space="0" w:color="auto"/>
              <w:right w:val="single" w:sz="4" w:space="0" w:color="auto"/>
            </w:tcBorders>
          </w:tcPr>
          <w:p w14:paraId="6D3D2A77" w14:textId="77777777"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A346587" w14:textId="1629F561"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hAnsi="Cambria" w:cs="Calibri"/>
                <w:sz w:val="20"/>
                <w:szCs w:val="20"/>
              </w:rPr>
              <w:t>For example, review of subject knowledge, relevant CPD, arrangements for upcoming lesson observation, college/department events etc.</w:t>
            </w:r>
          </w:p>
          <w:p w14:paraId="399FF43D" w14:textId="77777777" w:rsidR="00733D3D" w:rsidRPr="007422DD" w:rsidRDefault="00733D3D" w:rsidP="00733D3D">
            <w:pPr>
              <w:pStyle w:val="xmsolistparagraph"/>
              <w:shd w:val="clear" w:color="auto" w:fill="FFFFFF"/>
              <w:spacing w:before="0" w:beforeAutospacing="0" w:after="0" w:afterAutospacing="0"/>
              <w:rPr>
                <w:rFonts w:ascii="Cambria" w:hAnsi="Cambria" w:cs="Calibri"/>
                <w:color w:val="FF0000"/>
                <w:sz w:val="20"/>
                <w:szCs w:val="20"/>
              </w:rPr>
            </w:pPr>
          </w:p>
          <w:p w14:paraId="033A2A4D" w14:textId="0DDDDDD0" w:rsidR="00733D3D" w:rsidRPr="008A22CD"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D4EF814" w14:textId="77777777" w:rsidTr="00686A7B">
        <w:trPr>
          <w:trHeight w:val="357"/>
        </w:trPr>
        <w:tc>
          <w:tcPr>
            <w:tcW w:w="1461" w:type="dxa"/>
            <w:vMerge w:val="restart"/>
            <w:tcBorders>
              <w:top w:val="single" w:sz="4" w:space="0" w:color="auto"/>
              <w:left w:val="single" w:sz="4" w:space="0" w:color="auto"/>
              <w:right w:val="single" w:sz="4" w:space="0" w:color="auto"/>
            </w:tcBorders>
          </w:tcPr>
          <w:p w14:paraId="1E3F347B" w14:textId="633E03BE"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w:t>
            </w:r>
            <w:r w:rsidRPr="00523D39">
              <w:rPr>
                <w:rFonts w:ascii="Cambria" w:eastAsia="Georgia" w:hAnsi="Cambria" w:cs="Georgia"/>
                <w:b/>
                <w:sz w:val="20"/>
                <w:szCs w:val="20"/>
              </w:rPr>
              <w:lastRenderedPageBreak/>
              <w:t>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469" w:type="dxa"/>
            <w:gridSpan w:val="13"/>
            <w:tcBorders>
              <w:top w:val="single" w:sz="4" w:space="0" w:color="auto"/>
              <w:left w:val="single" w:sz="4" w:space="0" w:color="auto"/>
              <w:bottom w:val="single" w:sz="4" w:space="0" w:color="auto"/>
              <w:right w:val="single" w:sz="4" w:space="0" w:color="auto"/>
            </w:tcBorders>
          </w:tcPr>
          <w:p w14:paraId="1BF3A799" w14:textId="2ED4288C" w:rsidR="00733D3D" w:rsidRPr="008A22CD" w:rsidRDefault="00733D3D" w:rsidP="00733D3D">
            <w:pPr>
              <w:pStyle w:val="xmsolistparagraph"/>
              <w:shd w:val="clear" w:color="auto" w:fill="FFFFFF"/>
              <w:spacing w:before="0" w:beforeAutospacing="0" w:after="0" w:afterAutospacing="0"/>
              <w:ind w:right="-3189"/>
              <w:rPr>
                <w:rFonts w:ascii="Cambria" w:hAnsi="Cambria" w:cs="Calibri"/>
                <w:sz w:val="20"/>
                <w:szCs w:val="20"/>
              </w:rPr>
            </w:pPr>
            <w:r w:rsidRPr="008A22CD">
              <w:rPr>
                <w:rFonts w:ascii="Cambria" w:hAnsi="Cambria"/>
                <w:b/>
                <w:bCs/>
                <w:sz w:val="20"/>
                <w:szCs w:val="20"/>
              </w:rPr>
              <w:lastRenderedPageBreak/>
              <w:t xml:space="preserve">Have strategies for workload been discussed? </w:t>
            </w:r>
          </w:p>
        </w:tc>
        <w:tc>
          <w:tcPr>
            <w:tcW w:w="1276" w:type="dxa"/>
            <w:gridSpan w:val="2"/>
            <w:tcBorders>
              <w:top w:val="single" w:sz="4" w:space="0" w:color="auto"/>
              <w:left w:val="single" w:sz="4" w:space="0" w:color="auto"/>
              <w:bottom w:val="single" w:sz="4" w:space="0" w:color="auto"/>
              <w:right w:val="single" w:sz="4" w:space="0" w:color="auto"/>
            </w:tcBorders>
          </w:tcPr>
          <w:p w14:paraId="79CD1FEE" w14:textId="1C24428D"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w:t>
            </w:r>
            <w:r w:rsidRPr="008A22CD">
              <w:rPr>
                <w:rFonts w:ascii="Cambria" w:hAnsi="Cambria"/>
                <w:b/>
                <w:bCs/>
                <w:sz w:val="20"/>
                <w:szCs w:val="20"/>
              </w:rPr>
              <w:t>N</w:t>
            </w:r>
          </w:p>
        </w:tc>
      </w:tr>
      <w:tr w:rsidR="00733D3D" w:rsidRPr="00F07217" w14:paraId="3DB20099" w14:textId="77777777" w:rsidTr="00686A7B">
        <w:trPr>
          <w:trHeight w:val="356"/>
        </w:trPr>
        <w:tc>
          <w:tcPr>
            <w:tcW w:w="1461" w:type="dxa"/>
            <w:vMerge/>
            <w:tcBorders>
              <w:left w:val="single" w:sz="4" w:space="0" w:color="auto"/>
              <w:right w:val="single" w:sz="4" w:space="0" w:color="auto"/>
            </w:tcBorders>
          </w:tcPr>
          <w:p w14:paraId="6123FA02"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16476932"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3C3AFABD" w14:textId="4C9B6759"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8A22CD" w14:paraId="3953F9DA" w14:textId="77777777" w:rsidTr="00686A7B">
        <w:trPr>
          <w:trHeight w:val="356"/>
        </w:trPr>
        <w:tc>
          <w:tcPr>
            <w:tcW w:w="1461" w:type="dxa"/>
            <w:vMerge/>
            <w:tcBorders>
              <w:left w:val="single" w:sz="4" w:space="0" w:color="auto"/>
              <w:right w:val="single" w:sz="4" w:space="0" w:color="auto"/>
            </w:tcBorders>
          </w:tcPr>
          <w:p w14:paraId="70CDC28C" w14:textId="77777777" w:rsidR="00733D3D" w:rsidRPr="00523D39" w:rsidRDefault="00733D3D" w:rsidP="00733D3D">
            <w:pPr>
              <w:spacing w:line="237" w:lineRule="auto"/>
              <w:jc w:val="center"/>
              <w:rPr>
                <w:rFonts w:ascii="Cambria" w:eastAsia="Georgia" w:hAnsi="Cambria" w:cs="Georgia"/>
                <w:b/>
                <w:sz w:val="20"/>
                <w:szCs w:val="20"/>
              </w:rPr>
            </w:pPr>
          </w:p>
        </w:tc>
        <w:tc>
          <w:tcPr>
            <w:tcW w:w="8469" w:type="dxa"/>
            <w:gridSpan w:val="13"/>
            <w:tcBorders>
              <w:top w:val="single" w:sz="4" w:space="0" w:color="auto"/>
              <w:left w:val="single" w:sz="4" w:space="0" w:color="auto"/>
              <w:bottom w:val="single" w:sz="4" w:space="0" w:color="auto"/>
              <w:right w:val="single" w:sz="4" w:space="0" w:color="auto"/>
            </w:tcBorders>
          </w:tcPr>
          <w:p w14:paraId="67A27CD1" w14:textId="19602094"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eastAsia="Calibri" w:hAnsi="Cambria" w:cs="Calibri"/>
                <w:b/>
                <w:bCs/>
                <w:sz w:val="20"/>
                <w:szCs w:val="20"/>
              </w:rPr>
              <w:t>Has the trainee’s wellbeing been discussed?</w:t>
            </w:r>
          </w:p>
        </w:tc>
        <w:tc>
          <w:tcPr>
            <w:tcW w:w="1269" w:type="dxa"/>
            <w:gridSpan w:val="2"/>
            <w:tcBorders>
              <w:top w:val="single" w:sz="4" w:space="0" w:color="auto"/>
              <w:left w:val="single" w:sz="4" w:space="0" w:color="auto"/>
              <w:bottom w:val="single" w:sz="4" w:space="0" w:color="auto"/>
              <w:right w:val="single" w:sz="4" w:space="0" w:color="auto"/>
            </w:tcBorders>
          </w:tcPr>
          <w:p w14:paraId="20AD7451" w14:textId="17CE8C55"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Y/N</w:t>
            </w:r>
          </w:p>
        </w:tc>
      </w:tr>
      <w:tr w:rsidR="00733D3D" w:rsidRPr="00F07217" w14:paraId="030E3747" w14:textId="77777777" w:rsidTr="00686A7B">
        <w:trPr>
          <w:trHeight w:val="356"/>
        </w:trPr>
        <w:tc>
          <w:tcPr>
            <w:tcW w:w="1461" w:type="dxa"/>
            <w:vMerge/>
            <w:tcBorders>
              <w:left w:val="single" w:sz="4" w:space="0" w:color="auto"/>
              <w:right w:val="single" w:sz="4" w:space="0" w:color="auto"/>
            </w:tcBorders>
          </w:tcPr>
          <w:p w14:paraId="65A50366"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98BEA06"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06804CC8" w14:textId="779DAD5F"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F31A2E" w14:paraId="1EFF03BD" w14:textId="77777777" w:rsidTr="00686A7B">
        <w:trPr>
          <w:trHeight w:val="301"/>
        </w:trPr>
        <w:tc>
          <w:tcPr>
            <w:tcW w:w="1461" w:type="dxa"/>
            <w:vMerge w:val="restart"/>
            <w:tcBorders>
              <w:top w:val="single" w:sz="4" w:space="0" w:color="auto"/>
              <w:left w:val="single" w:sz="4" w:space="0" w:color="auto"/>
              <w:right w:val="single" w:sz="4" w:space="0" w:color="auto"/>
            </w:tcBorders>
          </w:tcPr>
          <w:p w14:paraId="78D25B1F" w14:textId="6EA1D7F1" w:rsidR="00733D3D" w:rsidRPr="00523D39" w:rsidRDefault="00733D3D" w:rsidP="00733D3D">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6341"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3404"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733D3D" w:rsidRPr="00F07217" w14:paraId="19ADFC6E" w14:textId="77777777" w:rsidTr="00686A7B">
        <w:trPr>
          <w:trHeight w:val="301"/>
        </w:trPr>
        <w:tc>
          <w:tcPr>
            <w:tcW w:w="1461" w:type="dxa"/>
            <w:vMerge/>
            <w:tcBorders>
              <w:left w:val="single" w:sz="4" w:space="0" w:color="auto"/>
              <w:right w:val="single" w:sz="4" w:space="0" w:color="auto"/>
            </w:tcBorders>
          </w:tcPr>
          <w:p w14:paraId="317BB4BF"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4B7A6363" w14:textId="13933049" w:rsidR="00733D3D" w:rsidRPr="002861D5"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1D1D38F" w14:textId="1FF08F74" w:rsidR="00733D3D" w:rsidRPr="002861D5" w:rsidRDefault="00733D3D" w:rsidP="00733D3D">
            <w:pPr>
              <w:pStyle w:val="xmsolistparagraph"/>
              <w:shd w:val="clear" w:color="auto" w:fill="FFFFFF"/>
              <w:spacing w:before="0" w:beforeAutospacing="0" w:after="0" w:afterAutospacing="0"/>
              <w:rPr>
                <w:rFonts w:ascii="Cambria" w:hAnsi="Cambria" w:cstheme="minorHAnsi"/>
                <w:b/>
                <w:bCs/>
                <w:sz w:val="20"/>
                <w:szCs w:val="20"/>
              </w:rPr>
            </w:pPr>
          </w:p>
        </w:tc>
      </w:tr>
      <w:tr w:rsidR="00733D3D" w:rsidRPr="00F07217" w14:paraId="48262457" w14:textId="77777777" w:rsidTr="00686A7B">
        <w:trPr>
          <w:trHeight w:val="301"/>
        </w:trPr>
        <w:tc>
          <w:tcPr>
            <w:tcW w:w="1461" w:type="dxa"/>
            <w:vMerge/>
            <w:tcBorders>
              <w:left w:val="single" w:sz="4" w:space="0" w:color="auto"/>
              <w:right w:val="single" w:sz="4" w:space="0" w:color="auto"/>
            </w:tcBorders>
          </w:tcPr>
          <w:p w14:paraId="42B9B59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20ABC3DA" w14:textId="10B00B15"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69785372" w14:textId="6ABC1DF8"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FEC5910" w14:textId="77777777" w:rsidTr="00686A7B">
        <w:trPr>
          <w:trHeight w:val="301"/>
        </w:trPr>
        <w:tc>
          <w:tcPr>
            <w:tcW w:w="1461" w:type="dxa"/>
            <w:vMerge/>
            <w:tcBorders>
              <w:left w:val="single" w:sz="4" w:space="0" w:color="auto"/>
              <w:bottom w:val="single" w:sz="4" w:space="0" w:color="auto"/>
              <w:right w:val="single" w:sz="4" w:space="0" w:color="auto"/>
            </w:tcBorders>
          </w:tcPr>
          <w:p w14:paraId="7A4CF4F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55CCE2C3" w14:textId="125D4A1A"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55EC65A" w14:textId="4CA5DEB3"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3CBB1465" w14:textId="77777777" w:rsidTr="00686A7B">
        <w:trPr>
          <w:trHeight w:val="413"/>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733D3D" w:rsidRPr="00F83C7A" w:rsidRDefault="00733D3D" w:rsidP="00733D3D">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0910252" w:rsidR="00733D3D" w:rsidRPr="00F83C7A" w:rsidRDefault="00000000" w:rsidP="00733D3D">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D046C">
                  <w:rPr>
                    <w:rFonts w:ascii="MS Gothic" w:eastAsia="MS Gothic" w:hAnsi="MS Gothic" w:cs="Arial" w:hint="eastAsia"/>
                    <w:b/>
                    <w:bCs/>
                    <w:sz w:val="20"/>
                    <w:szCs w:val="20"/>
                  </w:rPr>
                  <w:t>☐</w:t>
                </w:r>
              </w:sdtContent>
            </w:sdt>
            <w:r w:rsidR="00733D3D" w:rsidRPr="00F83C7A">
              <w:rPr>
                <w:rFonts w:ascii="Cambria" w:hAnsi="Cambria" w:cs="Arial"/>
                <w:b/>
                <w:bCs/>
                <w:sz w:val="20"/>
                <w:szCs w:val="20"/>
              </w:rPr>
              <w:t xml:space="preserve">  Yes, trainee is making sufficient progress through the curriculum.</w:t>
            </w:r>
          </w:p>
          <w:p w14:paraId="015224A5" w14:textId="60008F38" w:rsidR="00733D3D" w:rsidRPr="00F83C7A" w:rsidRDefault="00000000" w:rsidP="00733D3D">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Yes, trainee is making sufficient progress through the curriculum, but this has required additional support </w:t>
            </w:r>
            <w:r w:rsidR="00733D3D" w:rsidRPr="00F83C7A">
              <w:rPr>
                <w:rFonts w:ascii="Cambria" w:hAnsi="Cambria" w:cs="Arial"/>
                <w:b/>
                <w:bCs/>
                <w:sz w:val="14"/>
                <w:szCs w:val="14"/>
              </w:rPr>
              <w:t>(please list the additional support provided below. For example, a reduction in teaching load, additional meetings, use of team-teaching etc</w:t>
            </w:r>
            <w:r w:rsidR="00733D3D" w:rsidRPr="00F83C7A">
              <w:rPr>
                <w:rFonts w:ascii="Cambria" w:hAnsi="Cambria" w:cs="Arial"/>
                <w:b/>
                <w:bCs/>
                <w:sz w:val="20"/>
                <w:szCs w:val="20"/>
              </w:rPr>
              <w:t>)</w:t>
            </w:r>
            <w:r w:rsidR="00733D3D">
              <w:rPr>
                <w:rFonts w:ascii="Cambria" w:hAnsi="Cambria" w:cs="Arial"/>
                <w:b/>
                <w:bCs/>
                <w:sz w:val="20"/>
                <w:szCs w:val="20"/>
              </w:rPr>
              <w:t>.</w:t>
            </w:r>
          </w:p>
          <w:p w14:paraId="2DBD45D4" w14:textId="77777777" w:rsidR="00733D3D" w:rsidRPr="00F83C7A" w:rsidRDefault="00733D3D" w:rsidP="00733D3D">
            <w:pPr>
              <w:rPr>
                <w:rFonts w:ascii="Cambria" w:hAnsi="Cambria" w:cs="Arial"/>
                <w:b/>
                <w:bCs/>
                <w:sz w:val="20"/>
                <w:szCs w:val="20"/>
              </w:rPr>
            </w:pPr>
          </w:p>
          <w:p w14:paraId="24E9E9CD" w14:textId="13DABC56" w:rsidR="00733D3D" w:rsidRPr="00F07217" w:rsidRDefault="00000000" w:rsidP="00733D3D">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733D3D" w:rsidRPr="00F07217">
              <w:rPr>
                <w:rFonts w:ascii="Georgia" w:hAnsi="Georgia" w:cs="Arial"/>
                <w:b/>
                <w:bCs/>
                <w:sz w:val="24"/>
                <w:szCs w:val="24"/>
              </w:rPr>
              <w:t xml:space="preserve"> </w:t>
            </w:r>
          </w:p>
        </w:tc>
      </w:tr>
      <w:bookmarkEnd w:id="0"/>
    </w:tbl>
    <w:p w14:paraId="1FF584B5" w14:textId="77777777" w:rsidR="000C0420" w:rsidRPr="00615C5F" w:rsidRDefault="000C0420">
      <w:pPr>
        <w:spacing w:after="0"/>
        <w:rPr>
          <w:sz w:val="16"/>
          <w:szCs w:val="16"/>
        </w:rPr>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4DD6A236"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3E19D9C5" w:rsidR="005C4DE7" w:rsidRPr="00F31A2E" w:rsidRDefault="005C4DE7" w:rsidP="00F31A2E">
            <w:pPr>
              <w:spacing w:after="0" w:line="240" w:lineRule="auto"/>
              <w:rPr>
                <w:rFonts w:ascii="Cambria" w:hAnsi="Cambria" w:cs="Arial"/>
                <w:bCs/>
              </w:rPr>
            </w:pP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F51E4D">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7026" w14:textId="77777777" w:rsidR="00F51E4D" w:rsidRDefault="00F51E4D" w:rsidP="00BB0205">
      <w:pPr>
        <w:spacing w:after="0" w:line="240" w:lineRule="auto"/>
      </w:pPr>
      <w:r>
        <w:separator/>
      </w:r>
    </w:p>
  </w:endnote>
  <w:endnote w:type="continuationSeparator" w:id="0">
    <w:p w14:paraId="44826B80" w14:textId="77777777" w:rsidR="00F51E4D" w:rsidRDefault="00F51E4D"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swiss"/>
    <w:pitch w:val="variable"/>
    <w:sig w:usb0="00000003" w:usb1="0200FDEE" w:usb2="03040000" w:usb3="00000000" w:csb0="00000001"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34DE" w14:textId="77777777" w:rsidR="002861D5" w:rsidRDefault="0028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4DCA4DB8" w:rsidR="009C79B8" w:rsidRDefault="009C79B8">
        <w:pPr>
          <w:pStyle w:val="Footer"/>
          <w:jc w:val="right"/>
        </w:pPr>
        <w:r>
          <w:fldChar w:fldCharType="begin"/>
        </w:r>
        <w:r>
          <w:instrText xml:space="preserve"> PAGE   \* MERGEFORMAT </w:instrText>
        </w:r>
        <w:r>
          <w:fldChar w:fldCharType="separate"/>
        </w:r>
        <w:r w:rsidR="00640D41">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CE17" w14:textId="77777777" w:rsidR="002861D5" w:rsidRDefault="0028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09E8" w14:textId="77777777" w:rsidR="00F51E4D" w:rsidRDefault="00F51E4D" w:rsidP="00BB0205">
      <w:pPr>
        <w:spacing w:after="0" w:line="240" w:lineRule="auto"/>
      </w:pPr>
      <w:r>
        <w:separator/>
      </w:r>
    </w:p>
  </w:footnote>
  <w:footnote w:type="continuationSeparator" w:id="0">
    <w:p w14:paraId="67CBBA17" w14:textId="77777777" w:rsidR="00F51E4D" w:rsidRDefault="00F51E4D"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4CF9" w14:textId="65A36B11" w:rsidR="002861D5" w:rsidRDefault="00286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94F5B1E"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DF83" w14:textId="4DA247A5" w:rsidR="002861D5" w:rsidRDefault="0028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D2"/>
    <w:multiLevelType w:val="hybridMultilevel"/>
    <w:tmpl w:val="A4943A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5FBB"/>
    <w:multiLevelType w:val="hybridMultilevel"/>
    <w:tmpl w:val="A0DA6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99B"/>
    <w:multiLevelType w:val="hybridMultilevel"/>
    <w:tmpl w:val="261ED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538C2"/>
    <w:multiLevelType w:val="hybridMultilevel"/>
    <w:tmpl w:val="9D02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50D4B"/>
    <w:multiLevelType w:val="hybridMultilevel"/>
    <w:tmpl w:val="F06C1D08"/>
    <w:lvl w:ilvl="0" w:tplc="0C0445B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F7BB5"/>
    <w:multiLevelType w:val="hybridMultilevel"/>
    <w:tmpl w:val="C7EA1A40"/>
    <w:lvl w:ilvl="0" w:tplc="1A6CF1FA">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355375CA"/>
    <w:multiLevelType w:val="hybridMultilevel"/>
    <w:tmpl w:val="38DA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4647DE"/>
    <w:multiLevelType w:val="hybridMultilevel"/>
    <w:tmpl w:val="981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8C1126"/>
    <w:multiLevelType w:val="hybridMultilevel"/>
    <w:tmpl w:val="E20C63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165483"/>
    <w:multiLevelType w:val="hybridMultilevel"/>
    <w:tmpl w:val="91E444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096259">
    <w:abstractNumId w:val="12"/>
  </w:num>
  <w:num w:numId="2" w16cid:durableId="880701731">
    <w:abstractNumId w:val="10"/>
  </w:num>
  <w:num w:numId="3" w16cid:durableId="886835758">
    <w:abstractNumId w:val="6"/>
  </w:num>
  <w:num w:numId="4" w16cid:durableId="1607805664">
    <w:abstractNumId w:val="2"/>
  </w:num>
  <w:num w:numId="5" w16cid:durableId="1840264953">
    <w:abstractNumId w:val="0"/>
  </w:num>
  <w:num w:numId="6" w16cid:durableId="2042705003">
    <w:abstractNumId w:val="7"/>
  </w:num>
  <w:num w:numId="7" w16cid:durableId="821699764">
    <w:abstractNumId w:val="1"/>
  </w:num>
  <w:num w:numId="8" w16cid:durableId="156649798">
    <w:abstractNumId w:val="9"/>
  </w:num>
  <w:num w:numId="9" w16cid:durableId="126356524">
    <w:abstractNumId w:val="5"/>
  </w:num>
  <w:num w:numId="10" w16cid:durableId="491724395">
    <w:abstractNumId w:val="11"/>
  </w:num>
  <w:num w:numId="11" w16cid:durableId="1028750162">
    <w:abstractNumId w:val="13"/>
  </w:num>
  <w:num w:numId="12" w16cid:durableId="848250156">
    <w:abstractNumId w:val="4"/>
  </w:num>
  <w:num w:numId="13" w16cid:durableId="99885635">
    <w:abstractNumId w:val="8"/>
  </w:num>
  <w:num w:numId="14" w16cid:durableId="77590279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06FBE"/>
    <w:rsid w:val="000177E9"/>
    <w:rsid w:val="000364E0"/>
    <w:rsid w:val="000467DF"/>
    <w:rsid w:val="00061CBE"/>
    <w:rsid w:val="00087C8B"/>
    <w:rsid w:val="000A4500"/>
    <w:rsid w:val="000C0420"/>
    <w:rsid w:val="000C5D4D"/>
    <w:rsid w:val="000D2747"/>
    <w:rsid w:val="000D5631"/>
    <w:rsid w:val="000D6922"/>
    <w:rsid w:val="000E702B"/>
    <w:rsid w:val="000F7F57"/>
    <w:rsid w:val="00132F3C"/>
    <w:rsid w:val="001436B1"/>
    <w:rsid w:val="001506CA"/>
    <w:rsid w:val="00164C19"/>
    <w:rsid w:val="00166757"/>
    <w:rsid w:val="00170752"/>
    <w:rsid w:val="00187942"/>
    <w:rsid w:val="001905AC"/>
    <w:rsid w:val="00192E4D"/>
    <w:rsid w:val="00193244"/>
    <w:rsid w:val="001A090B"/>
    <w:rsid w:val="001A6B98"/>
    <w:rsid w:val="001B0667"/>
    <w:rsid w:val="001B46A9"/>
    <w:rsid w:val="001B5C6F"/>
    <w:rsid w:val="001B5DFB"/>
    <w:rsid w:val="001C4D2B"/>
    <w:rsid w:val="001D6BD6"/>
    <w:rsid w:val="001E2011"/>
    <w:rsid w:val="001E5B59"/>
    <w:rsid w:val="001F2CB3"/>
    <w:rsid w:val="001F2DAA"/>
    <w:rsid w:val="0020392C"/>
    <w:rsid w:val="00203B1D"/>
    <w:rsid w:val="002077E7"/>
    <w:rsid w:val="002176C6"/>
    <w:rsid w:val="00225BB8"/>
    <w:rsid w:val="002402B7"/>
    <w:rsid w:val="00244BD5"/>
    <w:rsid w:val="00257C5E"/>
    <w:rsid w:val="00264480"/>
    <w:rsid w:val="00267F20"/>
    <w:rsid w:val="00275428"/>
    <w:rsid w:val="00275519"/>
    <w:rsid w:val="00284E41"/>
    <w:rsid w:val="002861D5"/>
    <w:rsid w:val="002909D3"/>
    <w:rsid w:val="002945B0"/>
    <w:rsid w:val="002A64B2"/>
    <w:rsid w:val="002D48BA"/>
    <w:rsid w:val="002D6840"/>
    <w:rsid w:val="002D71BC"/>
    <w:rsid w:val="002F0646"/>
    <w:rsid w:val="003047BE"/>
    <w:rsid w:val="003324D5"/>
    <w:rsid w:val="00334D9F"/>
    <w:rsid w:val="00341E44"/>
    <w:rsid w:val="003433DA"/>
    <w:rsid w:val="003558A2"/>
    <w:rsid w:val="00360B99"/>
    <w:rsid w:val="00360FDF"/>
    <w:rsid w:val="00362E65"/>
    <w:rsid w:val="0036642F"/>
    <w:rsid w:val="00387F4F"/>
    <w:rsid w:val="00393C9C"/>
    <w:rsid w:val="003C0614"/>
    <w:rsid w:val="003C1D2B"/>
    <w:rsid w:val="003D046C"/>
    <w:rsid w:val="003E7131"/>
    <w:rsid w:val="003F297E"/>
    <w:rsid w:val="004009A7"/>
    <w:rsid w:val="00402356"/>
    <w:rsid w:val="00403E3F"/>
    <w:rsid w:val="00415B4F"/>
    <w:rsid w:val="004419F4"/>
    <w:rsid w:val="00446426"/>
    <w:rsid w:val="004550FF"/>
    <w:rsid w:val="00460454"/>
    <w:rsid w:val="00464034"/>
    <w:rsid w:val="00470596"/>
    <w:rsid w:val="00481D47"/>
    <w:rsid w:val="00485777"/>
    <w:rsid w:val="004933A3"/>
    <w:rsid w:val="004A0E13"/>
    <w:rsid w:val="004C3CDB"/>
    <w:rsid w:val="004F5A59"/>
    <w:rsid w:val="005031C0"/>
    <w:rsid w:val="005061DF"/>
    <w:rsid w:val="005113AE"/>
    <w:rsid w:val="005120DA"/>
    <w:rsid w:val="00523D39"/>
    <w:rsid w:val="00532449"/>
    <w:rsid w:val="00537E6B"/>
    <w:rsid w:val="00542102"/>
    <w:rsid w:val="005502E1"/>
    <w:rsid w:val="005511A4"/>
    <w:rsid w:val="005532B5"/>
    <w:rsid w:val="00553CE4"/>
    <w:rsid w:val="00554743"/>
    <w:rsid w:val="00556F37"/>
    <w:rsid w:val="0056023C"/>
    <w:rsid w:val="00560FE2"/>
    <w:rsid w:val="00566655"/>
    <w:rsid w:val="0057496A"/>
    <w:rsid w:val="005775AE"/>
    <w:rsid w:val="00580D88"/>
    <w:rsid w:val="00586ACC"/>
    <w:rsid w:val="005A6715"/>
    <w:rsid w:val="005B18AF"/>
    <w:rsid w:val="005B4FD8"/>
    <w:rsid w:val="005C4629"/>
    <w:rsid w:val="005C4DE7"/>
    <w:rsid w:val="005E244C"/>
    <w:rsid w:val="005E2543"/>
    <w:rsid w:val="005F3947"/>
    <w:rsid w:val="005F5A1C"/>
    <w:rsid w:val="00606867"/>
    <w:rsid w:val="006102D0"/>
    <w:rsid w:val="006112AB"/>
    <w:rsid w:val="006135EC"/>
    <w:rsid w:val="00615C5F"/>
    <w:rsid w:val="00624699"/>
    <w:rsid w:val="00631D4B"/>
    <w:rsid w:val="00637553"/>
    <w:rsid w:val="00640D41"/>
    <w:rsid w:val="00645D9A"/>
    <w:rsid w:val="006466C4"/>
    <w:rsid w:val="0064731C"/>
    <w:rsid w:val="00647B52"/>
    <w:rsid w:val="00650A8F"/>
    <w:rsid w:val="00663D4E"/>
    <w:rsid w:val="00681F90"/>
    <w:rsid w:val="00686A7B"/>
    <w:rsid w:val="00690414"/>
    <w:rsid w:val="00690AD3"/>
    <w:rsid w:val="00690DB7"/>
    <w:rsid w:val="006928B6"/>
    <w:rsid w:val="006A2DCB"/>
    <w:rsid w:val="006A777B"/>
    <w:rsid w:val="006B15D7"/>
    <w:rsid w:val="006B4CC4"/>
    <w:rsid w:val="006C0609"/>
    <w:rsid w:val="006D52FD"/>
    <w:rsid w:val="006E789E"/>
    <w:rsid w:val="00703A42"/>
    <w:rsid w:val="007052C0"/>
    <w:rsid w:val="0071620C"/>
    <w:rsid w:val="0072228E"/>
    <w:rsid w:val="00723015"/>
    <w:rsid w:val="00726BDF"/>
    <w:rsid w:val="00727936"/>
    <w:rsid w:val="00733D3D"/>
    <w:rsid w:val="007422DD"/>
    <w:rsid w:val="00745BFC"/>
    <w:rsid w:val="0075782C"/>
    <w:rsid w:val="00760D48"/>
    <w:rsid w:val="00775637"/>
    <w:rsid w:val="00775A04"/>
    <w:rsid w:val="00780613"/>
    <w:rsid w:val="00783738"/>
    <w:rsid w:val="007904BD"/>
    <w:rsid w:val="007944F5"/>
    <w:rsid w:val="007A0516"/>
    <w:rsid w:val="007B1A2C"/>
    <w:rsid w:val="007B4199"/>
    <w:rsid w:val="007C2932"/>
    <w:rsid w:val="007C4C2F"/>
    <w:rsid w:val="007C66A6"/>
    <w:rsid w:val="007D1339"/>
    <w:rsid w:val="007D2AA4"/>
    <w:rsid w:val="007E09BF"/>
    <w:rsid w:val="007E2240"/>
    <w:rsid w:val="00800444"/>
    <w:rsid w:val="00801854"/>
    <w:rsid w:val="008151B0"/>
    <w:rsid w:val="008235B7"/>
    <w:rsid w:val="00835D2D"/>
    <w:rsid w:val="00844FC9"/>
    <w:rsid w:val="008467F5"/>
    <w:rsid w:val="00854B4E"/>
    <w:rsid w:val="00856769"/>
    <w:rsid w:val="00866227"/>
    <w:rsid w:val="008675C2"/>
    <w:rsid w:val="00876843"/>
    <w:rsid w:val="00894394"/>
    <w:rsid w:val="008A22CD"/>
    <w:rsid w:val="008A3736"/>
    <w:rsid w:val="008A6127"/>
    <w:rsid w:val="008A67D8"/>
    <w:rsid w:val="008B1D2B"/>
    <w:rsid w:val="008C38E8"/>
    <w:rsid w:val="008C5CA6"/>
    <w:rsid w:val="008C6ED4"/>
    <w:rsid w:val="008D261C"/>
    <w:rsid w:val="008D6C75"/>
    <w:rsid w:val="008E15AD"/>
    <w:rsid w:val="008E4B82"/>
    <w:rsid w:val="00904801"/>
    <w:rsid w:val="00907C29"/>
    <w:rsid w:val="00914A00"/>
    <w:rsid w:val="00923CC5"/>
    <w:rsid w:val="0093498B"/>
    <w:rsid w:val="00943673"/>
    <w:rsid w:val="00945A5D"/>
    <w:rsid w:val="009461D9"/>
    <w:rsid w:val="009606AB"/>
    <w:rsid w:val="0096319B"/>
    <w:rsid w:val="00965CE6"/>
    <w:rsid w:val="00966A4C"/>
    <w:rsid w:val="00970EA0"/>
    <w:rsid w:val="009A76C7"/>
    <w:rsid w:val="009B07B1"/>
    <w:rsid w:val="009B2245"/>
    <w:rsid w:val="009B3121"/>
    <w:rsid w:val="009B6144"/>
    <w:rsid w:val="009C3E89"/>
    <w:rsid w:val="009C79B8"/>
    <w:rsid w:val="009D30D2"/>
    <w:rsid w:val="009F54DD"/>
    <w:rsid w:val="00A00F62"/>
    <w:rsid w:val="00A07878"/>
    <w:rsid w:val="00A166D0"/>
    <w:rsid w:val="00A26FEA"/>
    <w:rsid w:val="00A27B4C"/>
    <w:rsid w:val="00A36B06"/>
    <w:rsid w:val="00A461C0"/>
    <w:rsid w:val="00A47D67"/>
    <w:rsid w:val="00A61137"/>
    <w:rsid w:val="00A7227A"/>
    <w:rsid w:val="00A771B9"/>
    <w:rsid w:val="00A862D2"/>
    <w:rsid w:val="00A92CA0"/>
    <w:rsid w:val="00AA17CF"/>
    <w:rsid w:val="00AA3C08"/>
    <w:rsid w:val="00AB1862"/>
    <w:rsid w:val="00AC52AF"/>
    <w:rsid w:val="00AD1D6C"/>
    <w:rsid w:val="00AD2305"/>
    <w:rsid w:val="00AD4BE1"/>
    <w:rsid w:val="00AE0D6F"/>
    <w:rsid w:val="00AE47A3"/>
    <w:rsid w:val="00AE5D12"/>
    <w:rsid w:val="00B109B2"/>
    <w:rsid w:val="00B40D86"/>
    <w:rsid w:val="00B5000E"/>
    <w:rsid w:val="00B55FD8"/>
    <w:rsid w:val="00B71FAE"/>
    <w:rsid w:val="00B75F73"/>
    <w:rsid w:val="00B8188E"/>
    <w:rsid w:val="00B957C3"/>
    <w:rsid w:val="00BA06A2"/>
    <w:rsid w:val="00BA12BC"/>
    <w:rsid w:val="00BA3E39"/>
    <w:rsid w:val="00BA7B37"/>
    <w:rsid w:val="00BB0205"/>
    <w:rsid w:val="00BC2D67"/>
    <w:rsid w:val="00BC3072"/>
    <w:rsid w:val="00BF017F"/>
    <w:rsid w:val="00BF1357"/>
    <w:rsid w:val="00BF6FA3"/>
    <w:rsid w:val="00C034BA"/>
    <w:rsid w:val="00C10AF3"/>
    <w:rsid w:val="00C15D55"/>
    <w:rsid w:val="00C22CD9"/>
    <w:rsid w:val="00C60438"/>
    <w:rsid w:val="00C663BC"/>
    <w:rsid w:val="00C6684E"/>
    <w:rsid w:val="00C67B8B"/>
    <w:rsid w:val="00C714FE"/>
    <w:rsid w:val="00C82FE6"/>
    <w:rsid w:val="00C93F96"/>
    <w:rsid w:val="00C95C29"/>
    <w:rsid w:val="00C97785"/>
    <w:rsid w:val="00CA07FC"/>
    <w:rsid w:val="00CA1F72"/>
    <w:rsid w:val="00CB44DE"/>
    <w:rsid w:val="00CC5EA8"/>
    <w:rsid w:val="00CD75DC"/>
    <w:rsid w:val="00CE4D47"/>
    <w:rsid w:val="00CE7529"/>
    <w:rsid w:val="00CF1C39"/>
    <w:rsid w:val="00D01736"/>
    <w:rsid w:val="00D105DF"/>
    <w:rsid w:val="00D12C87"/>
    <w:rsid w:val="00D23999"/>
    <w:rsid w:val="00D26EEE"/>
    <w:rsid w:val="00D40DF0"/>
    <w:rsid w:val="00D4165E"/>
    <w:rsid w:val="00D517AF"/>
    <w:rsid w:val="00D64072"/>
    <w:rsid w:val="00D67B11"/>
    <w:rsid w:val="00D7386B"/>
    <w:rsid w:val="00D76306"/>
    <w:rsid w:val="00D8211D"/>
    <w:rsid w:val="00D852D6"/>
    <w:rsid w:val="00D9612E"/>
    <w:rsid w:val="00DA3F41"/>
    <w:rsid w:val="00DA4C7E"/>
    <w:rsid w:val="00DB0CEA"/>
    <w:rsid w:val="00DB4B64"/>
    <w:rsid w:val="00DC685F"/>
    <w:rsid w:val="00DD5A4F"/>
    <w:rsid w:val="00DD66EA"/>
    <w:rsid w:val="00DF760B"/>
    <w:rsid w:val="00DF7CAF"/>
    <w:rsid w:val="00E02F00"/>
    <w:rsid w:val="00E147E5"/>
    <w:rsid w:val="00E17C38"/>
    <w:rsid w:val="00E22452"/>
    <w:rsid w:val="00E22DA3"/>
    <w:rsid w:val="00E27B26"/>
    <w:rsid w:val="00E34D7D"/>
    <w:rsid w:val="00E457EF"/>
    <w:rsid w:val="00E45891"/>
    <w:rsid w:val="00E5003C"/>
    <w:rsid w:val="00E53DAA"/>
    <w:rsid w:val="00E65DEB"/>
    <w:rsid w:val="00E702B1"/>
    <w:rsid w:val="00E87C70"/>
    <w:rsid w:val="00EA1ECF"/>
    <w:rsid w:val="00EA77D3"/>
    <w:rsid w:val="00EB1FA3"/>
    <w:rsid w:val="00ED04E2"/>
    <w:rsid w:val="00ED58B5"/>
    <w:rsid w:val="00EE0C18"/>
    <w:rsid w:val="00EE1887"/>
    <w:rsid w:val="00EE1D6A"/>
    <w:rsid w:val="00EE53F3"/>
    <w:rsid w:val="00EE5A74"/>
    <w:rsid w:val="00EE64A0"/>
    <w:rsid w:val="00EF0AF4"/>
    <w:rsid w:val="00F07217"/>
    <w:rsid w:val="00F27212"/>
    <w:rsid w:val="00F31A2E"/>
    <w:rsid w:val="00F354B7"/>
    <w:rsid w:val="00F377DA"/>
    <w:rsid w:val="00F45E23"/>
    <w:rsid w:val="00F47EC2"/>
    <w:rsid w:val="00F51E4D"/>
    <w:rsid w:val="00F55928"/>
    <w:rsid w:val="00F5767B"/>
    <w:rsid w:val="00F6789C"/>
    <w:rsid w:val="00F77DFE"/>
    <w:rsid w:val="00F82C86"/>
    <w:rsid w:val="00F83B94"/>
    <w:rsid w:val="00F83C7A"/>
    <w:rsid w:val="00F83EAA"/>
    <w:rsid w:val="00FB2DB8"/>
    <w:rsid w:val="00FB38FA"/>
    <w:rsid w:val="00FB5206"/>
    <w:rsid w:val="00FB5DD6"/>
    <w:rsid w:val="00FC0E49"/>
    <w:rsid w:val="00FC7621"/>
    <w:rsid w:val="00FD2363"/>
    <w:rsid w:val="00FD3E22"/>
    <w:rsid w:val="00FD57B4"/>
    <w:rsid w:val="00FD6C80"/>
    <w:rsid w:val="00FE47C3"/>
    <w:rsid w:val="00FE7A2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customStyle="1" w:styleId="UnresolvedMention1">
    <w:name w:val="Unresolved Mention1"/>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character" w:customStyle="1" w:styleId="normaltextrun">
    <w:name w:val="normaltextrun"/>
    <w:basedOn w:val="DefaultParagraphFont"/>
    <w:rsid w:val="00EE1887"/>
  </w:style>
  <w:style w:type="character" w:customStyle="1" w:styleId="eop">
    <w:name w:val="eop"/>
    <w:basedOn w:val="DefaultParagraphFont"/>
    <w:rsid w:val="00EE1887"/>
  </w:style>
  <w:style w:type="character" w:styleId="UnresolvedMention">
    <w:name w:val="Unresolved Mention"/>
    <w:basedOn w:val="DefaultParagraphFont"/>
    <w:uiPriority w:val="99"/>
    <w:semiHidden/>
    <w:unhideWhenUsed/>
    <w:rsid w:val="00FC7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79341642">
      <w:bodyDiv w:val="1"/>
      <w:marLeft w:val="0"/>
      <w:marRight w:val="0"/>
      <w:marTop w:val="0"/>
      <w:marBottom w:val="0"/>
      <w:divBdr>
        <w:top w:val="none" w:sz="0" w:space="0" w:color="auto"/>
        <w:left w:val="none" w:sz="0" w:space="0" w:color="auto"/>
        <w:bottom w:val="none" w:sz="0" w:space="0" w:color="auto"/>
        <w:right w:val="none" w:sz="0" w:space="0" w:color="auto"/>
      </w:divBdr>
    </w:div>
    <w:div w:id="296108821">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foundation.co.uk/professional-development/maths-and-english/effective-practice-guidelines/"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485075/DFE-RR456A_-%20Workload_Challenge_Analysis_of_teacher_consultation_responses_sixth_form_colleges.pdf"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feedbac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6f4548-89b1-4a25-9ea1-686004e14dc7">
      <UserInfo>
        <DisplayName>Edge Hill Teacher Education Mentors 23/24 Members</DisplayName>
        <AccountId>27</AccountId>
        <AccountType/>
      </UserInfo>
    </SharedWithUsers>
    <_activity xmlns="4e4a6f24-8ea2-41a5-a5fb-44afa09ea2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01A35E3C23494097F068C612F8E266" ma:contentTypeVersion="15" ma:contentTypeDescription="Create a new document." ma:contentTypeScope="" ma:versionID="52cba18036907830d13f8f563ffbb8bf">
  <xsd:schema xmlns:xsd="http://www.w3.org/2001/XMLSchema" xmlns:xs="http://www.w3.org/2001/XMLSchema" xmlns:p="http://schemas.microsoft.com/office/2006/metadata/properties" xmlns:ns3="4e4a6f24-8ea2-41a5-a5fb-44afa09ea27b" xmlns:ns4="196f4548-89b1-4a25-9ea1-686004e14dc7" targetNamespace="http://schemas.microsoft.com/office/2006/metadata/properties" ma:root="true" ma:fieldsID="d4e8c748388ca56035cc6d1c2765bad2" ns3:_="" ns4:_="">
    <xsd:import namespace="4e4a6f24-8ea2-41a5-a5fb-44afa09ea27b"/>
    <xsd:import namespace="196f4548-89b1-4a25-9ea1-686004e14d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f24-8ea2-41a5-a5fb-44afa09ea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f4548-89b1-4a25-9ea1-686004e14d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 ds:uri="196f4548-89b1-4a25-9ea1-686004e14dc7"/>
    <ds:schemaRef ds:uri="4e4a6f24-8ea2-41a5-a5fb-44afa09ea27b"/>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BAA0D64E-D7B8-4192-91EC-4F4D0CD1E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f24-8ea2-41a5-a5fb-44afa09ea27b"/>
    <ds:schemaRef ds:uri="196f4548-89b1-4a25-9ea1-686004e14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2023-06-21T08:24:00Z</cp:lastPrinted>
  <dcterms:created xsi:type="dcterms:W3CDTF">2024-04-30T11:55:00Z</dcterms:created>
  <dcterms:modified xsi:type="dcterms:W3CDTF">2024-04-30T11:55:00Z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0x0101002F01A35E3C23494097F068C612F8E266</vt:lpwstr>
  </property>
</Properties>
</file>