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5"/>
        <w:gridCol w:w="1118"/>
        <w:gridCol w:w="1229"/>
        <w:gridCol w:w="703"/>
      </w:tblGrid>
      <w:tr w:rsidR="00BB0205" w:rsidRPr="00F07217" w14:paraId="31D4C3CB" w14:textId="77777777" w:rsidTr="00697DAE">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CC90FF"/>
          </w:tcPr>
          <w:p w14:paraId="2F0115FB" w14:textId="430EDED1" w:rsidR="00BB0205" w:rsidRDefault="00BB0205" w:rsidP="00F07217">
            <w:pPr>
              <w:jc w:val="center"/>
              <w:rPr>
                <w:rFonts w:ascii="Cambria" w:eastAsia="Georgia" w:hAnsi="Cambria" w:cs="Georgia"/>
                <w:b/>
                <w:color w:val="000000" w:themeColor="text1"/>
              </w:rPr>
            </w:pPr>
            <w:bookmarkStart w:id="0" w:name="_Hlk86825635"/>
            <w:r w:rsidRPr="00333FF9">
              <w:rPr>
                <w:rFonts w:ascii="Cambria" w:eastAsia="Georgia" w:hAnsi="Cambria" w:cs="Georgia"/>
                <w:b/>
                <w:color w:val="000000" w:themeColor="text1"/>
              </w:rPr>
              <w:t xml:space="preserve">Welcome to the mentor </w:t>
            </w:r>
            <w:r w:rsidR="00FE47C3" w:rsidRPr="00333FF9">
              <w:rPr>
                <w:rFonts w:ascii="Cambria" w:eastAsia="Georgia" w:hAnsi="Cambria" w:cs="Georgia"/>
                <w:b/>
                <w:color w:val="000000" w:themeColor="text1"/>
              </w:rPr>
              <w:t>Weekly Development Summary</w:t>
            </w:r>
            <w:r w:rsidRPr="00333FF9">
              <w:rPr>
                <w:rFonts w:ascii="Cambria" w:eastAsia="Georgia" w:hAnsi="Cambria" w:cs="Georgia"/>
                <w:b/>
                <w:color w:val="000000" w:themeColor="text1"/>
              </w:rPr>
              <w:t xml:space="preserve"> from the Department of Secondary and Further Education</w:t>
            </w:r>
            <w:r w:rsidR="00966A4C" w:rsidRPr="00333FF9">
              <w:rPr>
                <w:rFonts w:ascii="Cambria" w:eastAsia="Georgia" w:hAnsi="Cambria" w:cs="Georgia"/>
                <w:b/>
                <w:color w:val="000000" w:themeColor="text1"/>
              </w:rPr>
              <w:t xml:space="preserve"> (AY 2</w:t>
            </w:r>
            <w:r w:rsidR="00493E56">
              <w:rPr>
                <w:rFonts w:ascii="Cambria" w:eastAsia="Georgia" w:hAnsi="Cambria" w:cs="Georgia"/>
                <w:b/>
                <w:color w:val="000000" w:themeColor="text1"/>
              </w:rPr>
              <w:t>4</w:t>
            </w:r>
            <w:r w:rsidR="00966A4C" w:rsidRPr="00333FF9">
              <w:rPr>
                <w:rFonts w:ascii="Cambria" w:eastAsia="Georgia" w:hAnsi="Cambria" w:cs="Georgia"/>
                <w:b/>
                <w:color w:val="000000" w:themeColor="text1"/>
              </w:rPr>
              <w:t>/2</w:t>
            </w:r>
            <w:r w:rsidR="00493E56">
              <w:rPr>
                <w:rFonts w:ascii="Cambria" w:eastAsia="Georgia" w:hAnsi="Cambria" w:cs="Georgia"/>
                <w:b/>
                <w:color w:val="000000" w:themeColor="text1"/>
              </w:rPr>
              <w:t>5</w:t>
            </w:r>
            <w:r w:rsidR="00966A4C" w:rsidRPr="00333FF9">
              <w:rPr>
                <w:rFonts w:ascii="Cambria" w:eastAsia="Georgia" w:hAnsi="Cambria" w:cs="Georgia"/>
                <w:b/>
                <w:color w:val="000000" w:themeColor="text1"/>
              </w:rPr>
              <w:t>)</w:t>
            </w:r>
          </w:p>
          <w:p w14:paraId="56DFBFB0" w14:textId="77777777" w:rsidR="00904A05" w:rsidRDefault="00904A05" w:rsidP="00F07217">
            <w:pPr>
              <w:jc w:val="center"/>
              <w:rPr>
                <w:rFonts w:ascii="Cambria" w:eastAsia="Georgia" w:hAnsi="Cambria" w:cs="Georgia"/>
                <w:b/>
                <w:color w:val="000000" w:themeColor="text1"/>
              </w:rPr>
            </w:pPr>
          </w:p>
          <w:p w14:paraId="0017CD7A" w14:textId="2C326FED" w:rsidR="00904A05" w:rsidRDefault="00904A05" w:rsidP="00F07217">
            <w:pPr>
              <w:jc w:val="center"/>
              <w:rPr>
                <w:rFonts w:ascii="Cambria" w:hAnsi="Cambria"/>
                <w:b/>
                <w:bCs/>
                <w:sz w:val="20"/>
                <w:szCs w:val="20"/>
              </w:rPr>
            </w:pPr>
            <w:r w:rsidRPr="00523D39">
              <w:rPr>
                <w:rFonts w:ascii="Cambria" w:hAnsi="Cambria"/>
                <w:b/>
                <w:bCs/>
                <w:sz w:val="20"/>
                <w:szCs w:val="20"/>
              </w:rPr>
              <w:t>‘Working creatively with others to enhance life chances’</w:t>
            </w:r>
          </w:p>
          <w:p w14:paraId="6F99C480" w14:textId="77777777" w:rsidR="001351A6" w:rsidRDefault="001351A6" w:rsidP="00F07217">
            <w:pPr>
              <w:jc w:val="center"/>
              <w:rPr>
                <w:rFonts w:ascii="Cambria" w:hAnsi="Cambria"/>
                <w:b/>
                <w:bCs/>
                <w:sz w:val="20"/>
                <w:szCs w:val="20"/>
              </w:rPr>
            </w:pPr>
          </w:p>
          <w:p w14:paraId="1D6B2DDB" w14:textId="33CAFF3B" w:rsidR="001351A6" w:rsidRPr="00333FF9" w:rsidRDefault="001351A6" w:rsidP="00F07217">
            <w:pPr>
              <w:jc w:val="center"/>
              <w:rPr>
                <w:rFonts w:ascii="Cambria" w:eastAsia="Georgia" w:hAnsi="Cambria" w:cs="Georgia"/>
                <w:b/>
                <w:color w:val="000000" w:themeColor="text1"/>
              </w:rPr>
            </w:pPr>
            <w:r w:rsidRPr="0014173F">
              <w:rPr>
                <w:rFonts w:ascii="Cambria" w:hAnsi="Cambria"/>
                <w:b/>
                <w:bCs/>
                <w:sz w:val="24"/>
                <w:szCs w:val="24"/>
              </w:rPr>
              <w:t>This form should be completed by the mentor during the Weekly Mentor Meeting.</w:t>
            </w:r>
          </w:p>
          <w:p w14:paraId="2E8EA821" w14:textId="5ADFB77C" w:rsidR="006102D0" w:rsidRPr="00523D39" w:rsidRDefault="006102D0" w:rsidP="001E17E8">
            <w:pPr>
              <w:rPr>
                <w:rFonts w:ascii="Cambria" w:eastAsia="Georgia" w:hAnsi="Cambria" w:cs="Georgia"/>
                <w:b/>
                <w:sz w:val="20"/>
                <w:szCs w:val="20"/>
              </w:rPr>
            </w:pPr>
          </w:p>
        </w:tc>
      </w:tr>
      <w:tr w:rsidR="004009A7" w:rsidRPr="00F07217" w14:paraId="06170D5F" w14:textId="77777777" w:rsidTr="00697DAE">
        <w:trPr>
          <w:trHeight w:val="126"/>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37B3CE4" w:rsidR="004009A7" w:rsidRPr="00523D39" w:rsidRDefault="00451F49">
            <w:pPr>
              <w:jc w:val="both"/>
              <w:rPr>
                <w:rFonts w:ascii="Cambria" w:hAnsi="Cambria"/>
                <w:b/>
                <w:bCs/>
                <w:sz w:val="20"/>
                <w:szCs w:val="20"/>
              </w:rPr>
            </w:pPr>
            <w:r>
              <w:rPr>
                <w:rFonts w:ascii="Cambria" w:hAnsi="Cambria"/>
                <w:b/>
                <w:bCs/>
                <w:sz w:val="20"/>
                <w:szCs w:val="20"/>
              </w:rPr>
              <w:t xml:space="preserve">INTRODUCTORY </w:t>
            </w:r>
          </w:p>
        </w:tc>
      </w:tr>
      <w:tr w:rsidR="004009A7" w:rsidRPr="00F07217" w14:paraId="4FBA03EC"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2D91E0C7" w14:textId="6003342C" w:rsidR="004009A7" w:rsidRPr="00523D39" w:rsidRDefault="00904A05">
            <w:pPr>
              <w:jc w:val="both"/>
              <w:rPr>
                <w:rFonts w:ascii="Cambria" w:hAnsi="Cambria"/>
                <w:b/>
                <w:bCs/>
                <w:sz w:val="20"/>
                <w:szCs w:val="20"/>
              </w:rPr>
            </w:pPr>
            <w:r>
              <w:rPr>
                <w:rFonts w:ascii="Cambria" w:hAnsi="Cambria"/>
                <w:b/>
                <w:bCs/>
                <w:sz w:val="20"/>
                <w:szCs w:val="20"/>
              </w:rPr>
              <w:t>Course</w:t>
            </w:r>
          </w:p>
        </w:tc>
        <w:tc>
          <w:tcPr>
            <w:tcW w:w="2807"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CCD7C16" w:rsidR="004009A7" w:rsidRPr="00523D39" w:rsidRDefault="005074F9">
            <w:pPr>
              <w:jc w:val="both"/>
              <w:rPr>
                <w:rFonts w:ascii="Cambria" w:hAnsi="Cambria"/>
                <w:b/>
                <w:bCs/>
                <w:sz w:val="20"/>
                <w:szCs w:val="20"/>
              </w:rPr>
            </w:pPr>
            <w:r>
              <w:rPr>
                <w:rFonts w:ascii="Cambria" w:hAnsi="Cambria"/>
                <w:b/>
                <w:bCs/>
                <w:sz w:val="20"/>
                <w:szCs w:val="20"/>
              </w:rPr>
              <w:t xml:space="preserve">PGDIT in Further Education and Skills </w:t>
            </w:r>
          </w:p>
        </w:tc>
        <w:tc>
          <w:tcPr>
            <w:tcW w:w="2846" w:type="dxa"/>
            <w:gridSpan w:val="4"/>
            <w:tcBorders>
              <w:top w:val="single" w:sz="4" w:space="0" w:color="auto"/>
              <w:left w:val="single" w:sz="4" w:space="0" w:color="auto"/>
              <w:bottom w:val="single" w:sz="4" w:space="0" w:color="auto"/>
              <w:right w:val="single" w:sz="4" w:space="0" w:color="auto"/>
            </w:tcBorders>
            <w:shd w:val="clear" w:color="auto" w:fill="CC90FF"/>
          </w:tcPr>
          <w:p w14:paraId="66B60088" w14:textId="446E06CE" w:rsidR="004009A7" w:rsidRPr="00523D39" w:rsidRDefault="004009A7">
            <w:pPr>
              <w:jc w:val="both"/>
              <w:rPr>
                <w:rFonts w:ascii="Cambria" w:hAnsi="Cambria"/>
                <w:b/>
                <w:bCs/>
                <w:sz w:val="20"/>
                <w:szCs w:val="20"/>
              </w:rPr>
            </w:pPr>
            <w:r w:rsidRPr="00523D39">
              <w:rPr>
                <w:rFonts w:ascii="Cambria" w:hAnsi="Cambria"/>
                <w:b/>
                <w:bCs/>
                <w:sz w:val="20"/>
                <w:szCs w:val="20"/>
              </w:rPr>
              <w:t xml:space="preserve">Week </w:t>
            </w:r>
            <w:r w:rsidR="001E17E8">
              <w:rPr>
                <w:rFonts w:ascii="Cambria" w:hAnsi="Cambria"/>
                <w:b/>
                <w:bCs/>
                <w:sz w:val="20"/>
                <w:szCs w:val="20"/>
              </w:rPr>
              <w:t>number</w:t>
            </w:r>
          </w:p>
        </w:tc>
        <w:tc>
          <w:tcPr>
            <w:tcW w:w="305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28C9682" w:rsidR="004009A7" w:rsidRPr="00523D39" w:rsidRDefault="0021448E">
            <w:pPr>
              <w:jc w:val="both"/>
              <w:rPr>
                <w:rFonts w:ascii="Cambria" w:hAnsi="Cambria"/>
                <w:b/>
                <w:bCs/>
                <w:sz w:val="20"/>
                <w:szCs w:val="20"/>
              </w:rPr>
            </w:pPr>
            <w:r>
              <w:rPr>
                <w:rFonts w:ascii="Cambria" w:hAnsi="Cambria"/>
                <w:b/>
                <w:bCs/>
                <w:sz w:val="20"/>
                <w:szCs w:val="20"/>
              </w:rPr>
              <w:t>1</w:t>
            </w:r>
            <w:r w:rsidR="003E1F60">
              <w:rPr>
                <w:rFonts w:ascii="Cambria" w:hAnsi="Cambria"/>
                <w:b/>
                <w:bCs/>
                <w:sz w:val="20"/>
                <w:szCs w:val="20"/>
              </w:rPr>
              <w:t>4</w:t>
            </w:r>
          </w:p>
        </w:tc>
      </w:tr>
      <w:tr w:rsidR="00381F63" w:rsidRPr="00F07217" w14:paraId="25B9C3C9" w14:textId="77777777" w:rsidTr="00697DAE">
        <w:trPr>
          <w:trHeight w:val="123"/>
        </w:trPr>
        <w:tc>
          <w:tcPr>
            <w:tcW w:w="2780" w:type="dxa"/>
            <w:gridSpan w:val="2"/>
            <w:tcBorders>
              <w:top w:val="single" w:sz="4" w:space="0" w:color="auto"/>
              <w:left w:val="single" w:sz="4" w:space="0" w:color="auto"/>
              <w:bottom w:val="single" w:sz="4" w:space="0" w:color="auto"/>
              <w:right w:val="single" w:sz="4" w:space="0" w:color="auto"/>
            </w:tcBorders>
            <w:shd w:val="clear" w:color="auto" w:fill="CC90FF"/>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0"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83"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32"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11731FE" w14:textId="250F6EA0" w:rsidR="0057496A" w:rsidRDefault="002D71BC" w:rsidP="008A67D8">
            <w:pPr>
              <w:rPr>
                <w:rFonts w:ascii="Cambria" w:hAnsi="Cambria"/>
                <w:b/>
                <w:bCs/>
                <w:sz w:val="20"/>
                <w:szCs w:val="20"/>
              </w:rPr>
            </w:pPr>
            <w:r w:rsidRPr="00523D39">
              <w:rPr>
                <w:rFonts w:ascii="Cambria" w:hAnsi="Cambria"/>
                <w:b/>
                <w:bCs/>
                <w:sz w:val="20"/>
                <w:szCs w:val="20"/>
              </w:rPr>
              <w:t>Key reading for the week</w:t>
            </w:r>
          </w:p>
          <w:p w14:paraId="14013C1B" w14:textId="77777777" w:rsidR="00381F63" w:rsidRPr="00523D39" w:rsidRDefault="00381F63" w:rsidP="008A67D8">
            <w:pPr>
              <w:rPr>
                <w:rFonts w:ascii="Cambria" w:hAnsi="Cambria"/>
                <w:b/>
                <w:bCs/>
                <w:sz w:val="20"/>
                <w:szCs w:val="20"/>
              </w:rPr>
            </w:pP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40DC59A4" w14:textId="5D5E2621" w:rsidR="00866227" w:rsidRPr="00BD4942" w:rsidRDefault="00BD4942" w:rsidP="00927143">
            <w:pPr>
              <w:rPr>
                <w:b/>
                <w:bCs/>
                <w:color w:val="000000" w:themeColor="text1"/>
              </w:rPr>
            </w:pPr>
            <w:r w:rsidRPr="00BD4942">
              <w:rPr>
                <w:b/>
                <w:bCs/>
                <w:color w:val="000000" w:themeColor="text1"/>
              </w:rPr>
              <w:t>Summary:</w:t>
            </w:r>
            <w:r>
              <w:t xml:space="preserve"> </w:t>
            </w:r>
            <w:r w:rsidRPr="00BD4942">
              <w:rPr>
                <w:b/>
                <w:bCs/>
              </w:rPr>
              <w:t xml:space="preserve">In Chapter 4 </w:t>
            </w:r>
            <w:r w:rsidRPr="00BD4942">
              <w:rPr>
                <w:b/>
                <w:bCs/>
              </w:rPr>
              <w:t xml:space="preserve">of this book, </w:t>
            </w:r>
            <w:r w:rsidRPr="00BD4942">
              <w:rPr>
                <w:b/>
                <w:bCs/>
              </w:rPr>
              <w:t>Brooks</w:t>
            </w:r>
            <w:r w:rsidRPr="00BD4942">
              <w:rPr>
                <w:b/>
                <w:bCs/>
              </w:rPr>
              <w:t xml:space="preserve"> (2016)</w:t>
            </w:r>
            <w:r w:rsidRPr="00BD4942">
              <w:rPr>
                <w:b/>
                <w:bCs/>
              </w:rPr>
              <w:t xml:space="preserve"> explores how teachers' identities are influenced by the subjects and educational phases they teach. Brooks discusses the dynamic relationship between a teacher’s subject expertise and their sense of professional identity, arguing that the discipline a teacher speciali</w:t>
            </w:r>
            <w:r w:rsidRPr="00BD4942">
              <w:rPr>
                <w:b/>
                <w:bCs/>
              </w:rPr>
              <w:t>s</w:t>
            </w:r>
            <w:r w:rsidRPr="00BD4942">
              <w:rPr>
                <w:b/>
                <w:bCs/>
              </w:rPr>
              <w:t>es in can shape their teaching approach, values, and interactions with students. The chapter also highlights how different educational phases (e.g., primary vs. secondary) require teachers to adapt their subject knowledge and pedagogical approaches to suit the developmental needs of their students. Brooks emphasizes that a strong subject and phase identity can serve as a “professional compass,” guiding teachers through the challenges of their roles and promoting authenticity in their practice.</w:t>
            </w:r>
          </w:p>
          <w:p w14:paraId="08F624E6" w14:textId="77777777" w:rsidR="00BD4942" w:rsidRPr="00BD4942" w:rsidRDefault="00BD4942" w:rsidP="00927143">
            <w:pPr>
              <w:rPr>
                <w:b/>
                <w:bCs/>
                <w:color w:val="000000" w:themeColor="text1"/>
              </w:rPr>
            </w:pPr>
          </w:p>
          <w:p w14:paraId="75843EE2" w14:textId="77777777" w:rsidR="00BD4942" w:rsidRDefault="00BD4942" w:rsidP="00BD4942">
            <w:pPr>
              <w:rPr>
                <w:b/>
                <w:bCs/>
                <w:color w:val="000000" w:themeColor="text1"/>
              </w:rPr>
            </w:pPr>
            <w:r w:rsidRPr="00BD4942">
              <w:rPr>
                <w:b/>
                <w:bCs/>
                <w:color w:val="000000" w:themeColor="text1"/>
              </w:rPr>
              <w:t>Limitations:</w:t>
            </w:r>
            <w:r>
              <w:rPr>
                <w:b/>
                <w:bCs/>
                <w:color w:val="000000" w:themeColor="text1"/>
              </w:rPr>
              <w:t xml:space="preserve"> </w:t>
            </w:r>
            <w:r w:rsidRPr="00BD4942">
              <w:rPr>
                <w:b/>
                <w:bCs/>
                <w:color w:val="000000" w:themeColor="text1"/>
              </w:rPr>
              <w:t xml:space="preserve">The chapter </w:t>
            </w:r>
            <w:r>
              <w:rPr>
                <w:b/>
                <w:bCs/>
                <w:color w:val="000000" w:themeColor="text1"/>
              </w:rPr>
              <w:t>has limited empirical evidence and is</w:t>
            </w:r>
            <w:r w:rsidRPr="00BD4942">
              <w:rPr>
                <w:b/>
                <w:bCs/>
                <w:color w:val="000000" w:themeColor="text1"/>
              </w:rPr>
              <w:t xml:space="preserve"> primarily theoretical, with limited research to support Brooks’ arguments. This may make the concepts more challenging to apply practically without further real-world examples or studies.</w:t>
            </w:r>
            <w:r>
              <w:rPr>
                <w:b/>
                <w:bCs/>
                <w:color w:val="000000" w:themeColor="text1"/>
              </w:rPr>
              <w:t xml:space="preserve"> There is also a l</w:t>
            </w:r>
            <w:r w:rsidRPr="00BD4942">
              <w:rPr>
                <w:b/>
                <w:bCs/>
                <w:color w:val="000000" w:themeColor="text1"/>
              </w:rPr>
              <w:t xml:space="preserve">ack of </w:t>
            </w:r>
            <w:r>
              <w:rPr>
                <w:b/>
                <w:bCs/>
                <w:color w:val="000000" w:themeColor="text1"/>
              </w:rPr>
              <w:t>f</w:t>
            </w:r>
            <w:r w:rsidRPr="00BD4942">
              <w:rPr>
                <w:b/>
                <w:bCs/>
                <w:color w:val="000000" w:themeColor="text1"/>
              </w:rPr>
              <w:t xml:space="preserve">ocus on </w:t>
            </w:r>
            <w:r>
              <w:rPr>
                <w:b/>
                <w:bCs/>
                <w:color w:val="000000" w:themeColor="text1"/>
              </w:rPr>
              <w:t>c</w:t>
            </w:r>
            <w:r w:rsidRPr="00BD4942">
              <w:rPr>
                <w:b/>
                <w:bCs/>
                <w:color w:val="000000" w:themeColor="text1"/>
              </w:rPr>
              <w:t>ross-</w:t>
            </w:r>
            <w:r>
              <w:rPr>
                <w:b/>
                <w:bCs/>
                <w:color w:val="000000" w:themeColor="text1"/>
              </w:rPr>
              <w:t>d</w:t>
            </w:r>
            <w:r w:rsidRPr="00BD4942">
              <w:rPr>
                <w:b/>
                <w:bCs/>
                <w:color w:val="000000" w:themeColor="text1"/>
              </w:rPr>
              <w:t>isciplinary</w:t>
            </w:r>
            <w:r>
              <w:rPr>
                <w:b/>
                <w:bCs/>
                <w:color w:val="000000" w:themeColor="text1"/>
              </w:rPr>
              <w:t xml:space="preserve"> t</w:t>
            </w:r>
            <w:r w:rsidRPr="00BD4942">
              <w:rPr>
                <w:b/>
                <w:bCs/>
                <w:color w:val="000000" w:themeColor="text1"/>
              </w:rPr>
              <w:t>eaching</w:t>
            </w:r>
            <w:r>
              <w:rPr>
                <w:b/>
                <w:bCs/>
                <w:color w:val="000000" w:themeColor="text1"/>
              </w:rPr>
              <w:t xml:space="preserve"> in that </w:t>
            </w:r>
            <w:r w:rsidRPr="00BD4942">
              <w:rPr>
                <w:b/>
                <w:bCs/>
                <w:color w:val="000000" w:themeColor="text1"/>
              </w:rPr>
              <w:t>Brooks does not extensively cover how subject identity in interdisciplinary contexts, which is increasingly relevant in modern educational settings where subjects are often integrated.</w:t>
            </w:r>
            <w:r>
              <w:rPr>
                <w:b/>
                <w:bCs/>
                <w:color w:val="000000" w:themeColor="text1"/>
              </w:rPr>
              <w:t xml:space="preserve"> </w:t>
            </w:r>
            <w:r w:rsidRPr="00BD4942">
              <w:rPr>
                <w:b/>
                <w:bCs/>
                <w:color w:val="000000" w:themeColor="text1"/>
              </w:rPr>
              <w:t xml:space="preserve"> The chapter's ideas may not fully account for differences across educational systems or cultural contexts</w:t>
            </w:r>
            <w:r>
              <w:rPr>
                <w:b/>
                <w:bCs/>
                <w:color w:val="000000" w:themeColor="text1"/>
              </w:rPr>
              <w:t>.</w:t>
            </w:r>
          </w:p>
          <w:p w14:paraId="16830F1F" w14:textId="77777777" w:rsidR="00BD4942" w:rsidRDefault="00BD4942" w:rsidP="00BD4942">
            <w:pPr>
              <w:rPr>
                <w:b/>
                <w:bCs/>
                <w:color w:val="000000" w:themeColor="text1"/>
              </w:rPr>
            </w:pPr>
          </w:p>
          <w:p w14:paraId="6071F449" w14:textId="6D6D55D7" w:rsidR="00BD4942" w:rsidRPr="00927143" w:rsidRDefault="00BD4942" w:rsidP="00BD4942">
            <w:pPr>
              <w:rPr>
                <w:color w:val="000000" w:themeColor="text1"/>
              </w:rPr>
            </w:pPr>
            <w:r w:rsidRPr="00BD4942">
              <w:rPr>
                <w:b/>
                <w:bCs/>
                <w:color w:val="000000" w:themeColor="text1"/>
              </w:rPr>
              <w:t>Reference:</w:t>
            </w:r>
            <w:r>
              <w:rPr>
                <w:b/>
                <w:bCs/>
                <w:color w:val="000000" w:themeColor="text1"/>
              </w:rPr>
              <w:t xml:space="preserve"> </w:t>
            </w:r>
            <w:r w:rsidRPr="00BD4942">
              <w:rPr>
                <w:b/>
                <w:bCs/>
                <w:color w:val="000000" w:themeColor="text1"/>
              </w:rPr>
              <w:t>Brooks, C. (2016), Teacher Subject Identity in Professional Practice: Teaching with a Professional Compass, Routledge, Chapter 4 Subject and Phase Identity, pp. 49-59.</w:t>
            </w:r>
          </w:p>
        </w:tc>
      </w:tr>
      <w:tr w:rsidR="00B5000E" w:rsidRPr="00F07217" w14:paraId="0811EF35" w14:textId="77777777" w:rsidTr="00697DAE">
        <w:trPr>
          <w:trHeight w:val="65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10E114CD" w14:textId="5898ACEF"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w:t>
            </w:r>
            <w:r w:rsidR="00FD47B5">
              <w:rPr>
                <w:rFonts w:ascii="Cambria" w:eastAsia="Georgia" w:hAnsi="Cambria" w:cs="Georgia"/>
                <w:b/>
                <w:sz w:val="20"/>
                <w:szCs w:val="20"/>
              </w:rPr>
              <w:t>s with the curriculum focus</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289E22A5" w:rsidR="00B5000E" w:rsidRPr="00523D39" w:rsidRDefault="00FD47B5" w:rsidP="00560FE2">
            <w:pPr>
              <w:jc w:val="center"/>
              <w:rPr>
                <w:rFonts w:ascii="Cambria" w:hAnsi="Cambria"/>
                <w:b/>
                <w:bCs/>
                <w:sz w:val="20"/>
                <w:szCs w:val="20"/>
              </w:rPr>
            </w:pPr>
            <w:r>
              <w:fldChar w:fldCharType="begin"/>
            </w:r>
            <w:r>
              <w:instrText xml:space="preserve"> INCLUDEPICTURE "https://lh7-us.googleusercontent.com/aafOPrViUxyy99iwWtJ4XH87ZXDpo5S7AbE1iQDk-3R_JKGmaorxMhQNocj7NPU3LT9VDKFjwDg7T_9vAWuXtrSVCTy4VY95bA2qSH2pAc5NpHvQCCEnioqfRprNDx-4B7IzCBN-AKLpqFBBUY_VjuOfJA=nw" \* MERGEFORMATINET </w:instrText>
            </w:r>
            <w:r>
              <w:fldChar w:fldCharType="separate"/>
            </w:r>
            <w:r>
              <w:rPr>
                <w:noProof/>
              </w:rPr>
              <w:drawing>
                <wp:inline distT="0" distB="0" distL="0" distR="0" wp14:anchorId="21FB6A35" wp14:editId="290525C1">
                  <wp:extent cx="705600" cy="705600"/>
                  <wp:effectExtent l="0" t="0" r="0" b="5715"/>
                  <wp:docPr id="1762631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0827" cy="710827"/>
                          </a:xfrm>
                          <a:prstGeom prst="rect">
                            <a:avLst/>
                          </a:prstGeom>
                          <a:noFill/>
                          <a:ln>
                            <a:noFill/>
                          </a:ln>
                        </pic:spPr>
                      </pic:pic>
                    </a:graphicData>
                  </a:graphic>
                </wp:inline>
              </w:drawing>
            </w:r>
            <w:r>
              <w:fldChar w:fldCharType="end"/>
            </w:r>
          </w:p>
        </w:tc>
        <w:tc>
          <w:tcPr>
            <w:tcW w:w="9600" w:type="dxa"/>
            <w:gridSpan w:val="10"/>
            <w:tcBorders>
              <w:top w:val="single" w:sz="4" w:space="0" w:color="auto"/>
              <w:left w:val="single" w:sz="4" w:space="0" w:color="auto"/>
              <w:bottom w:val="single" w:sz="4" w:space="0" w:color="auto"/>
              <w:right w:val="single" w:sz="4" w:space="0" w:color="auto"/>
            </w:tcBorders>
            <w:shd w:val="clear" w:color="auto" w:fill="auto"/>
          </w:tcPr>
          <w:p w14:paraId="2AD27241" w14:textId="77777777" w:rsidR="00BD4942" w:rsidRDefault="00BD4942" w:rsidP="0021448E">
            <w:pPr>
              <w:pStyle w:val="xmsolistparagraph"/>
              <w:shd w:val="clear" w:color="auto" w:fill="FFFFFF"/>
              <w:spacing w:before="0" w:beforeAutospacing="0" w:after="0" w:afterAutospacing="0"/>
              <w:rPr>
                <w:rFonts w:ascii="Calibri" w:eastAsia="Calibri" w:hAnsi="Calibri" w:cs="Calibri"/>
                <w:color w:val="000000"/>
                <w:sz w:val="22"/>
                <w:szCs w:val="22"/>
              </w:rPr>
            </w:pPr>
            <w:r>
              <w:rPr>
                <w:rFonts w:ascii="Calibri" w:eastAsia="Calibri" w:hAnsi="Calibri" w:cs="Calibri"/>
                <w:color w:val="000000"/>
                <w:sz w:val="22"/>
                <w:szCs w:val="22"/>
              </w:rPr>
              <w:t xml:space="preserve">This link discusses collaborative planning in a college setting </w:t>
            </w:r>
          </w:p>
          <w:p w14:paraId="54541CA7" w14:textId="77777777" w:rsidR="00570FB3" w:rsidRDefault="00BD4942" w:rsidP="0021448E">
            <w:pPr>
              <w:pStyle w:val="xmsolistparagraph"/>
              <w:shd w:val="clear" w:color="auto" w:fill="FFFFFF"/>
              <w:spacing w:before="0" w:beforeAutospacing="0" w:after="0" w:afterAutospacing="0"/>
              <w:rPr>
                <w:rFonts w:ascii="Calibri" w:eastAsia="Calibri" w:hAnsi="Calibri" w:cs="Calibri"/>
                <w:color w:val="000000"/>
                <w:sz w:val="22"/>
                <w:szCs w:val="22"/>
              </w:rPr>
            </w:pPr>
            <w:hyperlink r:id="rId12" w:history="1">
              <w:r w:rsidRPr="00BD4942">
                <w:rPr>
                  <w:rFonts w:ascii="Calibri" w:eastAsia="Calibri" w:hAnsi="Calibri" w:cs="Calibri"/>
                  <w:color w:val="0000FF"/>
                  <w:sz w:val="22"/>
                  <w:szCs w:val="22"/>
                  <w:u w:val="single"/>
                </w:rPr>
                <w:t>02.-Cambridge-Regional-College-Collaborative-planning-as-a-tool-for-teacher-professional-development.pdf</w:t>
              </w:r>
            </w:hyperlink>
          </w:p>
          <w:p w14:paraId="4C2BAE21" w14:textId="77777777" w:rsidR="00BD4942" w:rsidRDefault="00BD4942" w:rsidP="0021448E">
            <w:pPr>
              <w:pStyle w:val="xmsolistparagraph"/>
              <w:shd w:val="clear" w:color="auto" w:fill="FFFFFF"/>
              <w:spacing w:before="0" w:beforeAutospacing="0" w:after="0" w:afterAutospacing="0"/>
              <w:rPr>
                <w:rFonts w:ascii="Cambria" w:hAnsi="Cambria" w:cstheme="minorHAnsi"/>
                <w:b/>
                <w:bCs/>
                <w:sz w:val="20"/>
                <w:szCs w:val="20"/>
              </w:rPr>
            </w:pPr>
          </w:p>
          <w:p w14:paraId="63236AD1" w14:textId="77777777" w:rsidR="00596EDA" w:rsidRDefault="00BD4942" w:rsidP="0021448E">
            <w:pPr>
              <w:pStyle w:val="xmsolistparagraph"/>
              <w:shd w:val="clear" w:color="auto" w:fill="FFFFFF"/>
              <w:spacing w:before="0" w:beforeAutospacing="0" w:after="0" w:afterAutospacing="0"/>
              <w:rPr>
                <w:rFonts w:ascii="Cambria" w:hAnsi="Cambria" w:cstheme="minorHAnsi"/>
                <w:b/>
                <w:bCs/>
                <w:sz w:val="20"/>
                <w:szCs w:val="20"/>
              </w:rPr>
            </w:pPr>
            <w:r>
              <w:rPr>
                <w:rFonts w:ascii="Cambria" w:hAnsi="Cambria" w:cstheme="minorHAnsi"/>
                <w:b/>
                <w:bCs/>
                <w:sz w:val="20"/>
                <w:szCs w:val="20"/>
              </w:rPr>
              <w:t xml:space="preserve">Published by the DfE this document looks at how FE </w:t>
            </w:r>
            <w:r w:rsidR="00596EDA">
              <w:rPr>
                <w:rFonts w:ascii="Cambria" w:hAnsi="Cambria" w:cstheme="minorHAnsi"/>
                <w:b/>
                <w:bCs/>
                <w:sz w:val="20"/>
                <w:szCs w:val="20"/>
              </w:rPr>
              <w:t xml:space="preserve">established good practice in remote and blended learning </w:t>
            </w:r>
          </w:p>
          <w:p w14:paraId="02295E43" w14:textId="2EADF882" w:rsidR="00BD4942" w:rsidRPr="00523D39" w:rsidRDefault="00BD4942" w:rsidP="0021448E">
            <w:pPr>
              <w:pStyle w:val="xmsolistparagraph"/>
              <w:shd w:val="clear" w:color="auto" w:fill="FFFFFF"/>
              <w:spacing w:before="0" w:beforeAutospacing="0" w:after="0" w:afterAutospacing="0"/>
              <w:rPr>
                <w:rFonts w:ascii="Cambria" w:hAnsi="Cambria" w:cstheme="minorHAnsi"/>
                <w:b/>
                <w:bCs/>
                <w:sz w:val="20"/>
                <w:szCs w:val="20"/>
              </w:rPr>
            </w:pPr>
            <w:hyperlink r:id="rId13" w:history="1">
              <w:r w:rsidRPr="004256B7">
                <w:rPr>
                  <w:rStyle w:val="Hyperlink"/>
                  <w:rFonts w:ascii="Cambria" w:hAnsi="Cambria" w:cstheme="minorHAnsi"/>
                  <w:b/>
                  <w:bCs/>
                  <w:sz w:val="20"/>
                  <w:szCs w:val="20"/>
                </w:rPr>
                <w:t>https://www.gov.uk/government/publications/remote-and-blended-learning-good-practice-fe-colleges</w:t>
              </w:r>
            </w:hyperlink>
            <w:r>
              <w:rPr>
                <w:rFonts w:ascii="Cambria" w:hAnsi="Cambria" w:cstheme="minorHAnsi"/>
                <w:b/>
                <w:bCs/>
                <w:sz w:val="20"/>
                <w:szCs w:val="20"/>
              </w:rPr>
              <w:t xml:space="preserve"> </w:t>
            </w:r>
          </w:p>
        </w:tc>
      </w:tr>
      <w:tr w:rsidR="00403E3F" w:rsidRPr="00F07217" w14:paraId="242BC6CD" w14:textId="77777777" w:rsidTr="00697DAE">
        <w:trPr>
          <w:trHeight w:val="262"/>
        </w:trPr>
        <w:tc>
          <w:tcPr>
            <w:tcW w:w="1883" w:type="dxa"/>
            <w:vMerge w:val="restart"/>
            <w:tcBorders>
              <w:top w:val="single" w:sz="4" w:space="0" w:color="auto"/>
              <w:left w:val="single" w:sz="4" w:space="0" w:color="auto"/>
              <w:right w:val="single" w:sz="4" w:space="0" w:color="auto"/>
            </w:tcBorders>
            <w:shd w:val="clear" w:color="auto" w:fill="CC90FF"/>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97DAE">
        <w:trPr>
          <w:trHeight w:val="968"/>
        </w:trPr>
        <w:tc>
          <w:tcPr>
            <w:tcW w:w="1883" w:type="dxa"/>
            <w:vMerge/>
            <w:tcBorders>
              <w:left w:val="single" w:sz="4" w:space="0" w:color="auto"/>
              <w:right w:val="single" w:sz="4" w:space="0" w:color="auto"/>
            </w:tcBorders>
            <w:shd w:val="clear" w:color="auto" w:fill="CC90FF"/>
          </w:tcPr>
          <w:p w14:paraId="38A28802" w14:textId="77777777" w:rsidR="00CB44DE" w:rsidRPr="00523D39" w:rsidRDefault="00CB44DE" w:rsidP="00B5000E">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5C8C0362" w14:textId="02B4A3B2" w:rsidR="00222692" w:rsidRPr="00222692" w:rsidRDefault="00222692" w:rsidP="00222692">
            <w:pPr>
              <w:rPr>
                <w:rFonts w:ascii="Cambria" w:hAnsi="Cambria"/>
                <w:b/>
                <w:bCs/>
                <w:sz w:val="20"/>
                <w:szCs w:val="20"/>
                <w:shd w:val="clear" w:color="auto" w:fill="FFFFFF"/>
              </w:rPr>
            </w:pPr>
            <w:r>
              <w:rPr>
                <w:rFonts w:ascii="Cambria" w:hAnsi="Cambria"/>
                <w:b/>
                <w:bCs/>
                <w:sz w:val="20"/>
                <w:szCs w:val="20"/>
                <w:shd w:val="clear" w:color="auto" w:fill="FFFFFF"/>
              </w:rPr>
              <w:t>1</w:t>
            </w:r>
            <w:r w:rsidRPr="00222692">
              <w:rPr>
                <w:rFonts w:ascii="Cambria" w:hAnsi="Cambria"/>
                <w:b/>
                <w:bCs/>
                <w:sz w:val="20"/>
                <w:szCs w:val="20"/>
                <w:shd w:val="clear" w:color="auto" w:fill="FFFFFF"/>
              </w:rPr>
              <w:t xml:space="preserve">. How collaboration with peers/mentors works when planning to teach a lesson within their own subject specialism. </w:t>
            </w:r>
          </w:p>
          <w:p w14:paraId="026A9C79" w14:textId="77777777" w:rsidR="00222692" w:rsidRPr="00222692" w:rsidRDefault="00222692" w:rsidP="00222692">
            <w:pPr>
              <w:rPr>
                <w:rFonts w:ascii="Cambria" w:hAnsi="Cambria"/>
                <w:b/>
                <w:bCs/>
                <w:sz w:val="20"/>
                <w:szCs w:val="20"/>
                <w:shd w:val="clear" w:color="auto" w:fill="FFFFFF"/>
              </w:rPr>
            </w:pPr>
          </w:p>
          <w:p w14:paraId="4F018794" w14:textId="77777777" w:rsidR="00222692" w:rsidRPr="00222692" w:rsidRDefault="00222692" w:rsidP="00222692">
            <w:pPr>
              <w:rPr>
                <w:rFonts w:ascii="Cambria" w:hAnsi="Cambria"/>
                <w:b/>
                <w:bCs/>
                <w:sz w:val="20"/>
                <w:szCs w:val="20"/>
                <w:shd w:val="clear" w:color="auto" w:fill="FFFFFF"/>
              </w:rPr>
            </w:pPr>
            <w:r w:rsidRPr="00222692">
              <w:rPr>
                <w:rFonts w:ascii="Cambria" w:hAnsi="Cambria"/>
                <w:b/>
                <w:bCs/>
                <w:sz w:val="20"/>
                <w:szCs w:val="20"/>
                <w:shd w:val="clear" w:color="auto" w:fill="FFFFFF"/>
              </w:rPr>
              <w:t xml:space="preserve">2. The principles of teaching and learning in relation to behaviour, such as emotional, cognitive and social factors. </w:t>
            </w:r>
          </w:p>
          <w:p w14:paraId="08BB0666" w14:textId="77777777" w:rsidR="00222692" w:rsidRPr="00222692" w:rsidRDefault="00222692" w:rsidP="00222692">
            <w:pPr>
              <w:rPr>
                <w:rFonts w:ascii="Cambria" w:hAnsi="Cambria"/>
                <w:b/>
                <w:bCs/>
                <w:sz w:val="20"/>
                <w:szCs w:val="20"/>
                <w:shd w:val="clear" w:color="auto" w:fill="FFFFFF"/>
              </w:rPr>
            </w:pPr>
          </w:p>
          <w:p w14:paraId="4E488AE5" w14:textId="09F12211" w:rsidR="00CB44DE" w:rsidRPr="00523D39" w:rsidRDefault="00222692" w:rsidP="00222692">
            <w:pPr>
              <w:rPr>
                <w:rFonts w:ascii="Cambria" w:hAnsi="Cambria"/>
                <w:b/>
                <w:bCs/>
                <w:sz w:val="20"/>
                <w:szCs w:val="20"/>
                <w:shd w:val="clear" w:color="auto" w:fill="FFFFFF"/>
              </w:rPr>
            </w:pPr>
            <w:r w:rsidRPr="00222692">
              <w:rPr>
                <w:rFonts w:ascii="Cambria" w:hAnsi="Cambria"/>
                <w:b/>
                <w:bCs/>
                <w:sz w:val="20"/>
                <w:szCs w:val="20"/>
                <w:shd w:val="clear" w:color="auto" w:fill="FFFFFF"/>
              </w:rPr>
              <w:t>3. The importance of subject knowledge in motivating students, teaching effectively and being able to identify gaps in the conceptual, processual, and content demands of their own subject specialism.</w:t>
            </w:r>
          </w:p>
        </w:tc>
        <w:tc>
          <w:tcPr>
            <w:tcW w:w="703" w:type="dxa"/>
            <w:tcBorders>
              <w:top w:val="single" w:sz="4" w:space="0" w:color="auto"/>
              <w:left w:val="single" w:sz="4" w:space="0" w:color="auto"/>
              <w:bottom w:val="single" w:sz="4" w:space="0" w:color="auto"/>
              <w:right w:val="single" w:sz="4" w:space="0" w:color="auto"/>
            </w:tcBorders>
          </w:tcPr>
          <w:p w14:paraId="500548AF" w14:textId="594AE825" w:rsidR="00CB44DE" w:rsidRPr="00523D39" w:rsidRDefault="00CB44DE" w:rsidP="003324D5">
            <w:pPr>
              <w:jc w:val="center"/>
              <w:rPr>
                <w:rFonts w:ascii="Cambria" w:hAnsi="Cambria"/>
                <w:sz w:val="20"/>
                <w:szCs w:val="20"/>
              </w:rPr>
            </w:pPr>
          </w:p>
        </w:tc>
      </w:tr>
      <w:tr w:rsidR="00CB44DE" w:rsidRPr="00F07217" w14:paraId="365EFF71" w14:textId="77777777" w:rsidTr="00697DAE">
        <w:trPr>
          <w:trHeight w:val="152"/>
        </w:trPr>
        <w:tc>
          <w:tcPr>
            <w:tcW w:w="1883" w:type="dxa"/>
            <w:vMerge/>
            <w:tcBorders>
              <w:left w:val="single" w:sz="4" w:space="0" w:color="auto"/>
              <w:right w:val="single" w:sz="4" w:space="0" w:color="auto"/>
            </w:tcBorders>
            <w:shd w:val="clear" w:color="auto" w:fill="CC90FF"/>
          </w:tcPr>
          <w:p w14:paraId="39E4C718"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5E1B72E3" w14:textId="61D2881E"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697DAE">
        <w:trPr>
          <w:trHeight w:val="152"/>
        </w:trPr>
        <w:tc>
          <w:tcPr>
            <w:tcW w:w="1883" w:type="dxa"/>
            <w:vMerge/>
            <w:tcBorders>
              <w:left w:val="single" w:sz="4" w:space="0" w:color="auto"/>
              <w:bottom w:val="single" w:sz="4" w:space="0" w:color="auto"/>
              <w:right w:val="single" w:sz="4" w:space="0" w:color="auto"/>
            </w:tcBorders>
            <w:shd w:val="clear" w:color="auto" w:fill="CC90FF"/>
          </w:tcPr>
          <w:p w14:paraId="6816228A" w14:textId="77777777" w:rsidR="00CB44DE" w:rsidRPr="00523D39" w:rsidRDefault="00CB44DE" w:rsidP="00D7386B">
            <w:pPr>
              <w:spacing w:line="237" w:lineRule="auto"/>
              <w:jc w:val="center"/>
              <w:rPr>
                <w:rFonts w:ascii="Cambria" w:hAnsi="Cambria"/>
                <w:b/>
                <w:bCs/>
                <w:sz w:val="20"/>
                <w:szCs w:val="20"/>
              </w:rPr>
            </w:pPr>
          </w:p>
        </w:tc>
        <w:tc>
          <w:tcPr>
            <w:tcW w:w="8897" w:type="dxa"/>
            <w:gridSpan w:val="9"/>
            <w:tcBorders>
              <w:top w:val="single" w:sz="4" w:space="0" w:color="auto"/>
              <w:left w:val="single" w:sz="4" w:space="0" w:color="auto"/>
              <w:bottom w:val="single" w:sz="4" w:space="0" w:color="auto"/>
              <w:right w:val="single" w:sz="4" w:space="0" w:color="auto"/>
            </w:tcBorders>
          </w:tcPr>
          <w:p w14:paraId="79A9A94E" w14:textId="77777777" w:rsidR="00222692" w:rsidRPr="00222692" w:rsidRDefault="00222692" w:rsidP="00222692">
            <w:pPr>
              <w:rPr>
                <w:rFonts w:ascii="Cambria" w:hAnsi="Cambria"/>
                <w:b/>
                <w:bCs/>
                <w:sz w:val="20"/>
                <w:szCs w:val="20"/>
              </w:rPr>
            </w:pPr>
            <w:r w:rsidRPr="00222692">
              <w:rPr>
                <w:rFonts w:ascii="Cambria" w:hAnsi="Cambria"/>
                <w:b/>
                <w:bCs/>
                <w:sz w:val="20"/>
                <w:szCs w:val="20"/>
              </w:rPr>
              <w:t>1. Underpin the principles of teaching and learning and the benefits for professional practice using research and strategies learned.</w:t>
            </w:r>
          </w:p>
          <w:p w14:paraId="7CD0FB9C" w14:textId="77777777" w:rsidR="00222692" w:rsidRPr="00222692" w:rsidRDefault="00222692" w:rsidP="00222692">
            <w:pPr>
              <w:rPr>
                <w:rFonts w:ascii="Cambria" w:hAnsi="Cambria"/>
                <w:b/>
                <w:bCs/>
                <w:sz w:val="20"/>
                <w:szCs w:val="20"/>
              </w:rPr>
            </w:pPr>
          </w:p>
          <w:p w14:paraId="78518DA0" w14:textId="77777777" w:rsidR="00222692" w:rsidRPr="00222692" w:rsidRDefault="00222692" w:rsidP="00222692">
            <w:pPr>
              <w:rPr>
                <w:rFonts w:ascii="Cambria" w:hAnsi="Cambria"/>
                <w:b/>
                <w:bCs/>
                <w:sz w:val="20"/>
                <w:szCs w:val="20"/>
              </w:rPr>
            </w:pPr>
            <w:r w:rsidRPr="00222692">
              <w:rPr>
                <w:rFonts w:ascii="Cambria" w:hAnsi="Cambria"/>
                <w:b/>
                <w:bCs/>
                <w:sz w:val="20"/>
                <w:szCs w:val="20"/>
              </w:rPr>
              <w:t>2. Contribute to a discussion on teaching and learning principles so they can share their experiences.</w:t>
            </w:r>
          </w:p>
          <w:p w14:paraId="6BB31A00" w14:textId="77777777" w:rsidR="00222692" w:rsidRPr="00222692" w:rsidRDefault="00222692" w:rsidP="00222692">
            <w:pPr>
              <w:rPr>
                <w:rFonts w:ascii="Cambria" w:hAnsi="Cambria"/>
                <w:b/>
                <w:bCs/>
                <w:sz w:val="20"/>
                <w:szCs w:val="20"/>
              </w:rPr>
            </w:pPr>
          </w:p>
          <w:p w14:paraId="50F95AF9" w14:textId="77777777" w:rsidR="00222692" w:rsidRPr="00222692" w:rsidRDefault="00222692" w:rsidP="00222692">
            <w:pPr>
              <w:rPr>
                <w:rFonts w:ascii="Cambria" w:hAnsi="Cambria"/>
                <w:b/>
                <w:bCs/>
                <w:sz w:val="20"/>
                <w:szCs w:val="20"/>
              </w:rPr>
            </w:pPr>
            <w:r w:rsidRPr="00222692">
              <w:rPr>
                <w:rFonts w:ascii="Cambria" w:hAnsi="Cambria"/>
                <w:b/>
                <w:bCs/>
                <w:sz w:val="20"/>
                <w:szCs w:val="20"/>
              </w:rPr>
              <w:t>3. Identify areas of development within their own subject knowledge and create an action plan to address these.</w:t>
            </w:r>
          </w:p>
          <w:p w14:paraId="3437E904" w14:textId="4AE5D45B" w:rsidR="00CB44DE" w:rsidRPr="00523D39" w:rsidRDefault="00CB44DE" w:rsidP="00927143">
            <w:pPr>
              <w:rPr>
                <w:rFonts w:ascii="Cambria" w:hAnsi="Cambria"/>
                <w:b/>
                <w:bCs/>
                <w:sz w:val="20"/>
                <w:szCs w:val="20"/>
              </w:rPr>
            </w:pPr>
          </w:p>
        </w:tc>
        <w:tc>
          <w:tcPr>
            <w:tcW w:w="703"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697DAE">
        <w:trPr>
          <w:trHeight w:val="2380"/>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2B69B659" w14:textId="2F7D5E40"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00697DAE">
              <w:fldChar w:fldCharType="begin"/>
            </w:r>
            <w:r w:rsidR="00697DAE">
              <w:instrText xml:space="preserve"> INCLUDEPICTURE "https://lh7-us.googleusercontent.com/a7Or1cFQkz0D692C_Vu07_gaolQUVCif2Kkjz1FZrd4TVLFOsw0dhhHNajE_EhrmiFAFJmiZW8k2FydmirkTupJ6AHQGGnSEetogSkMihjwi_s_HDE68QJGAuDUP8tSHHcilh8o6bUmP_BNHgbyC95s3QQ=nw" \* MERGEFORMATINET </w:instrText>
            </w:r>
            <w:r w:rsidR="00697DAE">
              <w:fldChar w:fldCharType="separate"/>
            </w:r>
            <w:r w:rsidR="00697DAE">
              <w:rPr>
                <w:noProof/>
              </w:rPr>
              <w:drawing>
                <wp:inline distT="0" distB="0" distL="0" distR="0" wp14:anchorId="23BF38F4" wp14:editId="21E93A5A">
                  <wp:extent cx="715060" cy="715060"/>
                  <wp:effectExtent l="0" t="0" r="0" b="0"/>
                  <wp:docPr id="100534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697DAE">
              <w:fldChar w:fldCharType="end"/>
            </w:r>
          </w:p>
        </w:tc>
        <w:tc>
          <w:tcPr>
            <w:tcW w:w="9600" w:type="dxa"/>
            <w:gridSpan w:val="10"/>
            <w:tcBorders>
              <w:top w:val="single" w:sz="4" w:space="0" w:color="auto"/>
              <w:left w:val="single" w:sz="4" w:space="0" w:color="auto"/>
              <w:bottom w:val="single" w:sz="4" w:space="0" w:color="auto"/>
              <w:right w:val="single" w:sz="4" w:space="0" w:color="auto"/>
            </w:tcBorders>
          </w:tcPr>
          <w:p w14:paraId="1994DA93" w14:textId="5DC409D0" w:rsidR="00927143" w:rsidRPr="00927143" w:rsidRDefault="003132BC" w:rsidP="00927143">
            <w:pPr>
              <w:pBdr>
                <w:top w:val="nil"/>
                <w:left w:val="nil"/>
                <w:bottom w:val="nil"/>
                <w:right w:val="nil"/>
                <w:between w:val="nil"/>
              </w:pBdr>
              <w:jc w:val="both"/>
              <w:rPr>
                <w:rFonts w:ascii="Cambria" w:hAnsi="Cambria"/>
                <w:b/>
                <w:bCs/>
                <w:sz w:val="20"/>
                <w:szCs w:val="20"/>
              </w:rPr>
            </w:pPr>
            <w:r>
              <w:rPr>
                <w:rFonts w:ascii="Cambria" w:hAnsi="Cambria"/>
                <w:b/>
                <w:bCs/>
                <w:sz w:val="20"/>
                <w:szCs w:val="20"/>
              </w:rPr>
              <w:t>Q</w:t>
            </w:r>
            <w:r w:rsidRPr="006C2B39">
              <w:rPr>
                <w:rFonts w:ascii="Cambria" w:hAnsi="Cambria"/>
                <w:b/>
                <w:bCs/>
                <w:sz w:val="20"/>
                <w:szCs w:val="20"/>
              </w:rPr>
              <w:t>1.</w:t>
            </w:r>
            <w:r w:rsidR="00222692" w:rsidRPr="00222692">
              <w:rPr>
                <w:rFonts w:ascii="Cambria" w:hAnsi="Cambria"/>
                <w:b/>
                <w:bCs/>
                <w:sz w:val="20"/>
                <w:szCs w:val="20"/>
              </w:rPr>
              <w:t xml:space="preserve"> Explain the strengths and weaknesses of collaborating with colleagues when planning a sequence of learning.</w:t>
            </w:r>
          </w:p>
          <w:p w14:paraId="3481FEE6" w14:textId="7A6997E8" w:rsidR="006C2B39" w:rsidRPr="006C2B39" w:rsidRDefault="006C2B39" w:rsidP="006C2B39">
            <w:pPr>
              <w:pBdr>
                <w:top w:val="nil"/>
                <w:left w:val="nil"/>
                <w:bottom w:val="nil"/>
                <w:right w:val="nil"/>
                <w:between w:val="nil"/>
              </w:pBdr>
              <w:jc w:val="both"/>
              <w:rPr>
                <w:rFonts w:ascii="Cambria" w:hAnsi="Cambria"/>
                <w:b/>
                <w:bCs/>
                <w:sz w:val="20"/>
                <w:szCs w:val="20"/>
              </w:rPr>
            </w:pPr>
            <w:r w:rsidRPr="006C2B39">
              <w:rPr>
                <w:rFonts w:ascii="Cambria" w:hAnsi="Cambria"/>
                <w:b/>
                <w:bCs/>
                <w:sz w:val="20"/>
                <w:szCs w:val="20"/>
                <w:highlight w:val="yellow"/>
              </w:rPr>
              <w:t>Mentor summary of trainee response:</w:t>
            </w:r>
          </w:p>
          <w:p w14:paraId="3630AC22" w14:textId="77777777" w:rsidR="006C2B39" w:rsidRDefault="006C2B39" w:rsidP="006C2B39">
            <w:pPr>
              <w:pBdr>
                <w:top w:val="nil"/>
                <w:left w:val="nil"/>
                <w:bottom w:val="nil"/>
                <w:right w:val="nil"/>
                <w:between w:val="nil"/>
              </w:pBdr>
              <w:jc w:val="both"/>
              <w:rPr>
                <w:rFonts w:ascii="Cambria" w:hAnsi="Cambria"/>
                <w:b/>
                <w:bCs/>
                <w:sz w:val="20"/>
                <w:szCs w:val="20"/>
              </w:rPr>
            </w:pPr>
          </w:p>
          <w:p w14:paraId="3265E967" w14:textId="77777777" w:rsidR="003132BC" w:rsidRPr="006C2B39" w:rsidRDefault="003132BC" w:rsidP="006C2B39">
            <w:pPr>
              <w:pBdr>
                <w:top w:val="nil"/>
                <w:left w:val="nil"/>
                <w:bottom w:val="nil"/>
                <w:right w:val="nil"/>
                <w:between w:val="nil"/>
              </w:pBdr>
              <w:jc w:val="both"/>
              <w:rPr>
                <w:rFonts w:ascii="Cambria" w:hAnsi="Cambria"/>
                <w:b/>
                <w:bCs/>
                <w:sz w:val="20"/>
                <w:szCs w:val="20"/>
              </w:rPr>
            </w:pPr>
          </w:p>
          <w:p w14:paraId="1E468573" w14:textId="33A9C18C" w:rsidR="006C2B39" w:rsidRDefault="003132BC" w:rsidP="006C2B39">
            <w:pPr>
              <w:pBdr>
                <w:top w:val="nil"/>
                <w:left w:val="nil"/>
                <w:bottom w:val="nil"/>
                <w:right w:val="nil"/>
                <w:between w:val="nil"/>
              </w:pBdr>
              <w:jc w:val="both"/>
              <w:rPr>
                <w:rFonts w:ascii="Cambria" w:hAnsi="Cambria"/>
                <w:b/>
                <w:bCs/>
                <w:sz w:val="20"/>
                <w:szCs w:val="20"/>
              </w:rPr>
            </w:pPr>
            <w:r>
              <w:rPr>
                <w:rFonts w:ascii="Cambria" w:hAnsi="Cambria"/>
                <w:b/>
                <w:bCs/>
                <w:sz w:val="20"/>
                <w:szCs w:val="20"/>
              </w:rPr>
              <w:t>Q2</w:t>
            </w:r>
            <w:r w:rsidRPr="006C2B39">
              <w:rPr>
                <w:rFonts w:ascii="Cambria" w:hAnsi="Cambria"/>
                <w:b/>
                <w:bCs/>
                <w:sz w:val="20"/>
                <w:szCs w:val="20"/>
              </w:rPr>
              <w:t>.</w:t>
            </w:r>
            <w:r w:rsidR="00222692" w:rsidRPr="00222692">
              <w:rPr>
                <w:rFonts w:ascii="Cambria" w:hAnsi="Cambria"/>
                <w:b/>
                <w:bCs/>
                <w:sz w:val="20"/>
                <w:szCs w:val="20"/>
              </w:rPr>
              <w:t xml:space="preserve"> Why do we need to consider students’ prior knowledge and understanding when planning a scheme of learning?</w:t>
            </w:r>
          </w:p>
          <w:p w14:paraId="2FCBDA67" w14:textId="41D833C3" w:rsidR="00B5000E"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3F215136" w14:textId="77777777" w:rsidR="008A798A" w:rsidRDefault="008A798A" w:rsidP="00B5000E">
            <w:pPr>
              <w:pBdr>
                <w:top w:val="nil"/>
                <w:left w:val="nil"/>
                <w:bottom w:val="nil"/>
                <w:right w:val="nil"/>
                <w:between w:val="nil"/>
              </w:pBdr>
              <w:jc w:val="both"/>
              <w:rPr>
                <w:rFonts w:ascii="Cambria" w:hAnsi="Cambria"/>
                <w:b/>
                <w:bCs/>
                <w:sz w:val="20"/>
                <w:szCs w:val="20"/>
              </w:rPr>
            </w:pPr>
          </w:p>
          <w:p w14:paraId="033863C2" w14:textId="77777777" w:rsidR="003132BC" w:rsidRPr="00523D39" w:rsidRDefault="003132BC" w:rsidP="00B5000E">
            <w:pPr>
              <w:pBdr>
                <w:top w:val="nil"/>
                <w:left w:val="nil"/>
                <w:bottom w:val="nil"/>
                <w:right w:val="nil"/>
                <w:between w:val="nil"/>
              </w:pBdr>
              <w:jc w:val="both"/>
              <w:rPr>
                <w:rFonts w:ascii="Cambria" w:hAnsi="Cambria"/>
                <w:b/>
                <w:bCs/>
                <w:sz w:val="20"/>
                <w:szCs w:val="20"/>
              </w:rPr>
            </w:pPr>
          </w:p>
          <w:p w14:paraId="062E7AF5" w14:textId="44B950D8" w:rsidR="00451F49" w:rsidRPr="00523D39" w:rsidRDefault="003132BC" w:rsidP="008A798A">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r w:rsidRPr="006C2B39">
              <w:rPr>
                <w:rFonts w:ascii="Cambria" w:hAnsi="Cambria"/>
                <w:b/>
                <w:bCs/>
                <w:sz w:val="20"/>
                <w:szCs w:val="20"/>
              </w:rPr>
              <w:t>.</w:t>
            </w:r>
            <w:r w:rsidR="004D131D">
              <w:rPr>
                <w:rFonts w:ascii="Cambria" w:hAnsi="Cambria"/>
                <w:b/>
                <w:bCs/>
                <w:sz w:val="20"/>
                <w:szCs w:val="20"/>
              </w:rPr>
              <w:t xml:space="preserve"> </w:t>
            </w:r>
            <w:r w:rsidR="00222692" w:rsidRPr="00222692">
              <w:rPr>
                <w:rFonts w:ascii="Cambria" w:hAnsi="Cambria"/>
                <w:b/>
                <w:bCs/>
                <w:sz w:val="20"/>
                <w:szCs w:val="20"/>
              </w:rPr>
              <w:t>What are the essential skills, knowledge and concepts needed in your subject area?</w:t>
            </w:r>
            <w:r w:rsidR="00222692">
              <w:t xml:space="preserve"> </w:t>
            </w:r>
            <w:r w:rsidR="00222692" w:rsidRPr="00222692">
              <w:rPr>
                <w:rFonts w:ascii="Cambria" w:hAnsi="Cambria"/>
                <w:b/>
                <w:bCs/>
                <w:sz w:val="20"/>
                <w:szCs w:val="20"/>
              </w:rPr>
              <w:t>How are learners supported in knowing these concepts within your subject?</w:t>
            </w:r>
          </w:p>
          <w:p w14:paraId="22BB80EE" w14:textId="12484FDF" w:rsidR="00B5000E" w:rsidRPr="00523D39" w:rsidRDefault="00B5000E" w:rsidP="00B5000E">
            <w:pPr>
              <w:pBdr>
                <w:top w:val="nil"/>
                <w:left w:val="nil"/>
                <w:bottom w:val="nil"/>
                <w:right w:val="nil"/>
                <w:between w:val="nil"/>
              </w:pBdr>
              <w:jc w:val="both"/>
              <w:rPr>
                <w:rFonts w:ascii="Cambria" w:hAnsi="Cambria"/>
                <w:b/>
                <w:bCs/>
                <w:sz w:val="20"/>
                <w:szCs w:val="20"/>
              </w:rPr>
            </w:pPr>
            <w:r w:rsidRPr="00451F49">
              <w:rPr>
                <w:rFonts w:ascii="Cambria" w:hAnsi="Cambria"/>
                <w:b/>
                <w:bCs/>
                <w:sz w:val="20"/>
                <w:szCs w:val="20"/>
                <w:highlight w:val="yellow"/>
              </w:rPr>
              <w:t>Mentor summary of trainee response:</w:t>
            </w:r>
          </w:p>
          <w:p w14:paraId="5E533A52"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39DA35D7" w14:textId="77777777" w:rsidR="00451F49" w:rsidRDefault="00451F49" w:rsidP="00B5000E">
            <w:pPr>
              <w:pBdr>
                <w:top w:val="nil"/>
                <w:left w:val="nil"/>
                <w:bottom w:val="nil"/>
                <w:right w:val="nil"/>
                <w:between w:val="nil"/>
              </w:pBdr>
              <w:jc w:val="both"/>
              <w:rPr>
                <w:rFonts w:ascii="Cambria" w:hAnsi="Cambria"/>
                <w:b/>
                <w:bCs/>
                <w:sz w:val="20"/>
                <w:szCs w:val="20"/>
              </w:rPr>
            </w:pPr>
          </w:p>
          <w:p w14:paraId="675E641A" w14:textId="0E5ADA6D" w:rsidR="008E45A2" w:rsidRPr="00523D39" w:rsidRDefault="008E45A2" w:rsidP="00B5000E">
            <w:pPr>
              <w:pBdr>
                <w:top w:val="nil"/>
                <w:left w:val="nil"/>
                <w:bottom w:val="nil"/>
                <w:right w:val="nil"/>
                <w:between w:val="nil"/>
              </w:pBdr>
              <w:jc w:val="both"/>
              <w:rPr>
                <w:rFonts w:ascii="Cambria" w:hAnsi="Cambria"/>
                <w:b/>
                <w:bCs/>
                <w:sz w:val="20"/>
                <w:szCs w:val="20"/>
              </w:rPr>
            </w:pPr>
            <w:r>
              <w:rPr>
                <w:rFonts w:ascii="Cambria" w:hAnsi="Cambria"/>
                <w:b/>
                <w:bCs/>
                <w:sz w:val="20"/>
                <w:szCs w:val="20"/>
              </w:rPr>
              <w:t>Q</w:t>
            </w:r>
            <w:r w:rsidR="003132BC">
              <w:rPr>
                <w:rFonts w:ascii="Cambria" w:hAnsi="Cambria"/>
                <w:b/>
                <w:bCs/>
                <w:sz w:val="20"/>
                <w:szCs w:val="20"/>
              </w:rPr>
              <w:t>4</w:t>
            </w:r>
            <w:r>
              <w:rPr>
                <w:rFonts w:ascii="Cambria" w:hAnsi="Cambria"/>
                <w:b/>
                <w:bCs/>
                <w:sz w:val="20"/>
                <w:szCs w:val="20"/>
              </w:rPr>
              <w:t xml:space="preserve">: Has the trainee has demonstrated the appropriate professional behaviours required of those training to teach? </w:t>
            </w:r>
            <w:r w:rsidR="004B5455">
              <w:rPr>
                <w:rFonts w:ascii="Cambria" w:hAnsi="Cambria"/>
                <w:b/>
                <w:bCs/>
                <w:sz w:val="20"/>
                <w:szCs w:val="20"/>
              </w:rPr>
              <w:t xml:space="preserve">Y/N </w:t>
            </w:r>
            <w:r w:rsidR="004B5455" w:rsidRPr="004B5455">
              <w:rPr>
                <w:rFonts w:ascii="Cambria" w:hAnsi="Cambria"/>
                <w:i/>
                <w:iCs/>
                <w:sz w:val="14"/>
                <w:szCs w:val="14"/>
              </w:rPr>
              <w:t>(if N, please provide details)</w:t>
            </w:r>
          </w:p>
          <w:p w14:paraId="11852BB5" w14:textId="27192A8F" w:rsidR="008B1D2B" w:rsidRPr="00523D39" w:rsidRDefault="008B1D2B" w:rsidP="00B5000E">
            <w:pPr>
              <w:pBdr>
                <w:top w:val="nil"/>
                <w:left w:val="nil"/>
                <w:bottom w:val="nil"/>
                <w:right w:val="nil"/>
                <w:between w:val="nil"/>
              </w:pBdr>
              <w:jc w:val="both"/>
              <w:rPr>
                <w:rFonts w:ascii="Cambria" w:hAnsi="Cambria"/>
                <w:sz w:val="20"/>
                <w:szCs w:val="20"/>
              </w:rPr>
            </w:pPr>
          </w:p>
        </w:tc>
      </w:tr>
      <w:tr w:rsidR="00B5000E" w:rsidRPr="00F07217" w14:paraId="69758A50" w14:textId="77777777" w:rsidTr="00697DAE">
        <w:trPr>
          <w:trHeight w:val="1676"/>
        </w:trPr>
        <w:tc>
          <w:tcPr>
            <w:tcW w:w="1883" w:type="dxa"/>
            <w:tcBorders>
              <w:top w:val="single" w:sz="4" w:space="0" w:color="auto"/>
              <w:left w:val="single" w:sz="4" w:space="0" w:color="auto"/>
              <w:bottom w:val="single" w:sz="4" w:space="0" w:color="auto"/>
              <w:right w:val="single" w:sz="4" w:space="0" w:color="auto"/>
            </w:tcBorders>
            <w:shd w:val="clear" w:color="auto" w:fill="CC90FF"/>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5B4EB0DF" w:rsidR="00560FE2" w:rsidRPr="00523D39" w:rsidRDefault="00EF50F0"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"https://lh7-us.googleusercontent.com/a7Or1cFQkz0D692C_Vu07_gaolQUVCif2Kkjz1FZrd4TVLFOsw0dhhHNajE_EhrmiFAFJmiZW8k2FydmirkTupJ6AHQGGnSEetogSkMihjwi_s_HDE68QJGAuDUP8tSHHcilh8o6bUmP_BNHgbyC95s3QQ=nw" \* MERGEFORMATINET </w:instrText>
            </w:r>
            <w:r>
              <w:fldChar w:fldCharType="separate"/>
            </w:r>
            <w:r w:rsidR="00FD47B5">
              <w:fldChar w:fldCharType="begin"/>
            </w:r>
            <w:r w:rsidR="00FD47B5">
              <w:instrText xml:space="preserve"> INCLUDEPICTURE "https://lh7-us.googleusercontent.com/a7Or1cFQkz0D692C_Vu07_gaolQUVCif2Kkjz1FZrd4TVLFOsw0dhhHNajE_EhrmiFAFJmiZW8k2FydmirkTupJ6AHQGGnSEetogSkMihjwi_s_HDE68QJGAuDUP8tSHHcilh8o6bUmP_BNHgbyC95s3QQ=nw" \* MERGEFORMATINET </w:instrText>
            </w:r>
            <w:r w:rsidR="00FD47B5">
              <w:fldChar w:fldCharType="separate"/>
            </w:r>
            <w:r w:rsidR="00FD47B5">
              <w:rPr>
                <w:noProof/>
              </w:rPr>
              <w:drawing>
                <wp:inline distT="0" distB="0" distL="0" distR="0" wp14:anchorId="74E43AEB" wp14:editId="72B53664">
                  <wp:extent cx="715060" cy="715060"/>
                  <wp:effectExtent l="0" t="0" r="0" b="0"/>
                  <wp:docPr id="952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580" cy="723580"/>
                          </a:xfrm>
                          <a:prstGeom prst="rect">
                            <a:avLst/>
                          </a:prstGeom>
                          <a:noFill/>
                          <a:ln>
                            <a:noFill/>
                          </a:ln>
                        </pic:spPr>
                      </pic:pic>
                    </a:graphicData>
                  </a:graphic>
                </wp:inline>
              </w:drawing>
            </w:r>
            <w:r w:rsidR="00FD47B5">
              <w:fldChar w:fldCharType="end"/>
            </w:r>
            <w:r>
              <w:fldChar w:fldCharType="end"/>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F54737" w:rsidRDefault="00E5003C" w:rsidP="00B5000E">
            <w:pPr>
              <w:pStyle w:val="xmsolistparagraph"/>
              <w:shd w:val="clear" w:color="auto" w:fill="FFFFFF"/>
              <w:spacing w:before="0" w:beforeAutospacing="0" w:after="0" w:afterAutospacing="0"/>
              <w:rPr>
                <w:rFonts w:ascii="Cambria" w:hAnsi="Cambria" w:cs="Calibri"/>
                <w:i/>
                <w:iCs/>
                <w:color w:val="201F1E"/>
                <w:sz w:val="20"/>
                <w:szCs w:val="20"/>
              </w:rPr>
            </w:pPr>
            <w:r w:rsidRPr="00F54737">
              <w:rPr>
                <w:rFonts w:ascii="Cambria" w:hAnsi="Cambria" w:cs="Calibri"/>
                <w:i/>
                <w:iCs/>
                <w:color w:val="201F1E"/>
                <w:sz w:val="20"/>
                <w:szCs w:val="20"/>
              </w:rPr>
              <w:t>For example,</w:t>
            </w:r>
            <w:r w:rsidR="00AB1862" w:rsidRPr="00F54737">
              <w:rPr>
                <w:rFonts w:ascii="Cambria" w:hAnsi="Cambria" w:cs="Calibri"/>
                <w:i/>
                <w:iCs/>
                <w:color w:val="201F1E"/>
                <w:sz w:val="20"/>
                <w:szCs w:val="20"/>
              </w:rPr>
              <w:t xml:space="preserve"> review of</w:t>
            </w:r>
            <w:r w:rsidRPr="00F54737">
              <w:rPr>
                <w:rFonts w:ascii="Cambria" w:hAnsi="Cambria" w:cs="Calibri"/>
                <w:i/>
                <w:iCs/>
                <w:color w:val="201F1E"/>
                <w:sz w:val="20"/>
                <w:szCs w:val="20"/>
              </w:rPr>
              <w:t xml:space="preserve"> subject knowledge</w:t>
            </w:r>
            <w:r w:rsidR="00AB1862" w:rsidRPr="00F54737">
              <w:rPr>
                <w:rFonts w:ascii="Cambria" w:hAnsi="Cambria" w:cs="Calibri"/>
                <w:i/>
                <w:iCs/>
                <w:color w:val="201F1E"/>
                <w:sz w:val="20"/>
                <w:szCs w:val="20"/>
              </w:rPr>
              <w:t xml:space="preserve">, </w:t>
            </w:r>
            <w:r w:rsidRPr="00F54737">
              <w:rPr>
                <w:rFonts w:ascii="Cambria" w:hAnsi="Cambria" w:cs="Calibri"/>
                <w:i/>
                <w:iCs/>
                <w:color w:val="201F1E"/>
                <w:sz w:val="20"/>
                <w:szCs w:val="20"/>
              </w:rPr>
              <w:t>relevant CPD</w:t>
            </w:r>
            <w:r w:rsidR="00AB1862" w:rsidRPr="00F54737">
              <w:rPr>
                <w:rFonts w:ascii="Cambria" w:hAnsi="Cambria" w:cs="Calibri"/>
                <w:i/>
                <w:iCs/>
                <w:color w:val="201F1E"/>
                <w:sz w:val="20"/>
                <w:szCs w:val="20"/>
              </w:rPr>
              <w:t>, arrangements for upcoming lesson observation, school/department events etc</w:t>
            </w:r>
            <w:r w:rsidR="00F83B94" w:rsidRPr="00F54737">
              <w:rPr>
                <w:rFonts w:ascii="Cambria" w:hAnsi="Cambria" w:cs="Calibri"/>
                <w:i/>
                <w:iCs/>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697DAE">
        <w:trPr>
          <w:trHeight w:val="602"/>
        </w:trPr>
        <w:tc>
          <w:tcPr>
            <w:tcW w:w="1883" w:type="dxa"/>
            <w:vMerge w:val="restart"/>
            <w:tcBorders>
              <w:top w:val="single" w:sz="4" w:space="0" w:color="auto"/>
              <w:left w:val="single" w:sz="4" w:space="0" w:color="auto"/>
              <w:right w:val="single" w:sz="4" w:space="0" w:color="auto"/>
            </w:tcBorders>
            <w:shd w:val="clear" w:color="auto" w:fill="CC90FF"/>
          </w:tcPr>
          <w:p w14:paraId="49C4284E" w14:textId="77777777" w:rsidR="00381F63"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p>
          <w:p w14:paraId="2E8BDCEC" w14:textId="77777777" w:rsidR="00381F63" w:rsidRDefault="00381F63" w:rsidP="00B5000E">
            <w:pPr>
              <w:spacing w:line="237" w:lineRule="auto"/>
              <w:jc w:val="center"/>
              <w:rPr>
                <w:rFonts w:ascii="Cambria" w:eastAsia="Georgia" w:hAnsi="Cambria" w:cs="Georgia"/>
                <w:b/>
                <w:sz w:val="20"/>
                <w:szCs w:val="20"/>
              </w:rPr>
            </w:pPr>
          </w:p>
          <w:p w14:paraId="1E3F347B" w14:textId="607A2AAD" w:rsidR="00581390" w:rsidRPr="00523D39" w:rsidRDefault="00581390" w:rsidP="00B5000E">
            <w:pPr>
              <w:spacing w:line="237" w:lineRule="auto"/>
              <w:jc w:val="center"/>
              <w:rPr>
                <w:rFonts w:ascii="Cambria" w:eastAsia="Georgia" w:hAnsi="Cambria" w:cs="Georgia"/>
                <w:b/>
                <w:sz w:val="20"/>
                <w:szCs w:val="20"/>
              </w:rPr>
            </w:pPr>
            <w:r w:rsidRPr="00523D39">
              <w:rPr>
                <w:rFonts w:ascii="Cambria" w:hAnsi="Cambria"/>
                <w:noProof/>
                <w:sz w:val="20"/>
                <w:szCs w:val="20"/>
              </w:rPr>
              <w:lastRenderedPageBreak/>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lastRenderedPageBreak/>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697DAE">
        <w:trPr>
          <w:trHeight w:val="602"/>
        </w:trPr>
        <w:tc>
          <w:tcPr>
            <w:tcW w:w="1883" w:type="dxa"/>
            <w:vMerge/>
            <w:tcBorders>
              <w:top w:val="single" w:sz="4" w:space="0" w:color="auto"/>
              <w:left w:val="single" w:sz="4" w:space="0" w:color="auto"/>
              <w:right w:val="single" w:sz="4" w:space="0" w:color="auto"/>
            </w:tcBorders>
            <w:shd w:val="clear" w:color="auto" w:fill="CC90FF"/>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F54737" w:rsidRDefault="00581390" w:rsidP="00B5000E">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581390" w:rsidRPr="00F07217" w14:paraId="221DFBA4" w14:textId="77777777" w:rsidTr="00697DAE">
        <w:trPr>
          <w:trHeight w:val="602"/>
        </w:trPr>
        <w:tc>
          <w:tcPr>
            <w:tcW w:w="1883" w:type="dxa"/>
            <w:vMerge/>
            <w:tcBorders>
              <w:left w:val="single" w:sz="4" w:space="0" w:color="auto"/>
              <w:right w:val="single" w:sz="4" w:space="0" w:color="auto"/>
            </w:tcBorders>
            <w:shd w:val="clear" w:color="auto" w:fill="CC90FF"/>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7" w:type="dxa"/>
            <w:gridSpan w:val="9"/>
            <w:tcBorders>
              <w:top w:val="single" w:sz="4" w:space="0" w:color="auto"/>
              <w:left w:val="single" w:sz="4" w:space="0" w:color="auto"/>
              <w:bottom w:val="single" w:sz="4" w:space="0" w:color="auto"/>
              <w:right w:val="single" w:sz="4" w:space="0" w:color="auto"/>
            </w:tcBorders>
            <w:shd w:val="clear" w:color="auto" w:fill="CC90FF"/>
          </w:tcPr>
          <w:p w14:paraId="4E6B3FBC" w14:textId="77777777" w:rsidR="00581390" w:rsidRPr="003E2B6C" w:rsidRDefault="00581390" w:rsidP="003E2B6C">
            <w:pPr>
              <w:rPr>
                <w:rFonts w:ascii="Cambria" w:hAnsi="Cambria"/>
                <w:b/>
                <w:bCs/>
                <w:color w:val="201F1E"/>
              </w:rPr>
            </w:pPr>
            <w:r w:rsidRPr="003E2B6C">
              <w:rPr>
                <w:rFonts w:ascii="Cambria" w:hAnsi="Cambria"/>
                <w:b/>
                <w:bCs/>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shd w:val="clear" w:color="auto" w:fill="CC90FF"/>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697DAE">
        <w:trPr>
          <w:trHeight w:val="602"/>
        </w:trPr>
        <w:tc>
          <w:tcPr>
            <w:tcW w:w="1883" w:type="dxa"/>
            <w:tcBorders>
              <w:left w:val="single" w:sz="4" w:space="0" w:color="auto"/>
              <w:right w:val="single" w:sz="4" w:space="0" w:color="auto"/>
            </w:tcBorders>
            <w:shd w:val="clear" w:color="auto" w:fill="CC90FF"/>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00"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F54737" w:rsidRDefault="00581390" w:rsidP="00581390">
            <w:pPr>
              <w:pStyle w:val="xmsolistparagraph"/>
              <w:shd w:val="clear" w:color="auto" w:fill="FFFFFF"/>
              <w:spacing w:before="0" w:beforeAutospacing="0" w:after="0" w:afterAutospacing="0"/>
              <w:rPr>
                <w:rFonts w:ascii="Cambria" w:eastAsia="Calibri" w:hAnsi="Cambria" w:cs="Calibri"/>
                <w:i/>
                <w:iCs/>
                <w:color w:val="000000"/>
                <w:sz w:val="20"/>
                <w:szCs w:val="20"/>
              </w:rPr>
            </w:pPr>
            <w:r w:rsidRPr="00F54737">
              <w:rPr>
                <w:rFonts w:ascii="Cambria" w:eastAsia="Calibri" w:hAnsi="Cambria" w:cs="Calibri"/>
                <w:i/>
                <w:iCs/>
                <w:color w:val="000000"/>
                <w:sz w:val="20"/>
                <w:szCs w:val="20"/>
              </w:rPr>
              <w:t>Actions or follow up (if needed)</w:t>
            </w:r>
          </w:p>
        </w:tc>
      </w:tr>
      <w:tr w:rsidR="00FB38FA" w:rsidRPr="00F07217" w14:paraId="1EFF03BD" w14:textId="77777777" w:rsidTr="008E4148">
        <w:trPr>
          <w:trHeight w:val="301"/>
        </w:trPr>
        <w:tc>
          <w:tcPr>
            <w:tcW w:w="1883" w:type="dxa"/>
            <w:vMerge w:val="restart"/>
            <w:tcBorders>
              <w:top w:val="single" w:sz="4" w:space="0" w:color="auto"/>
              <w:left w:val="single" w:sz="4" w:space="0" w:color="auto"/>
              <w:right w:val="single" w:sz="4" w:space="0" w:color="auto"/>
            </w:tcBorders>
            <w:shd w:val="clear" w:color="auto" w:fill="CC90FF"/>
          </w:tcPr>
          <w:p w14:paraId="2D2E9709" w14:textId="100C7A2E" w:rsidR="00381F63"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w:t>
            </w:r>
            <w:r w:rsidR="00381F63">
              <w:rPr>
                <w:rFonts w:ascii="Cambria" w:eastAsia="Georgia" w:hAnsi="Cambria" w:cs="Georgia"/>
                <w:b/>
                <w:sz w:val="20"/>
                <w:szCs w:val="20"/>
              </w:rPr>
              <w:t>ss</w:t>
            </w:r>
          </w:p>
          <w:p w14:paraId="2E7BDA80" w14:textId="77777777" w:rsidR="00381F63" w:rsidRDefault="00381F63" w:rsidP="00B5000E">
            <w:pPr>
              <w:spacing w:line="237" w:lineRule="auto"/>
              <w:jc w:val="center"/>
              <w:rPr>
                <w:rFonts w:ascii="Cambria" w:eastAsia="Georgia" w:hAnsi="Cambria" w:cs="Georgia"/>
                <w:b/>
                <w:sz w:val="20"/>
                <w:szCs w:val="20"/>
              </w:rPr>
            </w:pPr>
          </w:p>
          <w:p w14:paraId="78D25B1F" w14:textId="2EBA0F75" w:rsidR="00FB38FA" w:rsidRPr="00523D39" w:rsidRDefault="00381F63" w:rsidP="00B5000E">
            <w:pPr>
              <w:spacing w:line="237" w:lineRule="auto"/>
              <w:jc w:val="center"/>
              <w:rPr>
                <w:rFonts w:ascii="Cambria" w:eastAsia="Georgia" w:hAnsi="Cambria" w:cs="Georgia"/>
                <w:b/>
                <w:sz w:val="20"/>
                <w:szCs w:val="20"/>
              </w:rPr>
            </w:pPr>
            <w:r>
              <w:fldChar w:fldCharType="begin"/>
            </w:r>
            <w:r>
              <w:instrText xml:space="preserve"> INCLUDEPICTURE "https://lh7-us.googleusercontent.com/ro0uj9ZPNBKxJ18zDJbPEuHHOmi6oNekZ_lZVl-QoiWaIGjqg364MG_rEuUPmkFbO-6cefHlbEW_EWcdXlFQP97Ag2i4ujQ8Wk_8-DFGdVumPiEEcpvNixkqbCoaHWmJFEPKOUFUN26yM0XyD9ZrmcUbvw=nw" \* MERGEFORMATINET </w:instrText>
            </w:r>
            <w:r>
              <w:fldChar w:fldCharType="separate"/>
            </w:r>
            <w:r>
              <w:rPr>
                <w:noProof/>
              </w:rPr>
              <w:drawing>
                <wp:inline distT="0" distB="0" distL="0" distR="0" wp14:anchorId="53AC1C2B" wp14:editId="3BD25ADB">
                  <wp:extent cx="612000" cy="612000"/>
                  <wp:effectExtent l="0" t="0" r="0" b="0"/>
                  <wp:docPr id="1038447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2043" cy="622043"/>
                          </a:xfrm>
                          <a:prstGeom prst="rect">
                            <a:avLst/>
                          </a:prstGeom>
                          <a:noFill/>
                          <a:ln>
                            <a:noFill/>
                          </a:ln>
                        </pic:spPr>
                      </pic:pic>
                    </a:graphicData>
                  </a:graphic>
                </wp:inline>
              </w:drawing>
            </w:r>
            <w:r>
              <w:fldChar w:fldCharType="end"/>
            </w:r>
          </w:p>
        </w:tc>
        <w:tc>
          <w:tcPr>
            <w:tcW w:w="4776" w:type="dxa"/>
            <w:gridSpan w:val="5"/>
            <w:tcBorders>
              <w:top w:val="single" w:sz="4" w:space="0" w:color="auto"/>
              <w:left w:val="single" w:sz="4" w:space="0" w:color="auto"/>
              <w:bottom w:val="single" w:sz="4" w:space="0" w:color="auto"/>
              <w:right w:val="single" w:sz="4" w:space="0" w:color="auto"/>
            </w:tcBorders>
            <w:shd w:val="clear" w:color="auto" w:fill="CC90FF"/>
          </w:tcPr>
          <w:p w14:paraId="39516C0A" w14:textId="3AC92855" w:rsidR="00FB38FA" w:rsidRPr="003E2B6C" w:rsidRDefault="00746049" w:rsidP="003E2B6C">
            <w:pPr>
              <w:rPr>
                <w:rFonts w:ascii="Cambria" w:hAnsi="Cambria"/>
                <w:b/>
                <w:bCs/>
                <w:sz w:val="20"/>
                <w:szCs w:val="20"/>
              </w:rPr>
            </w:pPr>
            <w:r w:rsidRPr="003E2B6C">
              <w:rPr>
                <w:rFonts w:ascii="Cambria" w:hAnsi="Cambria"/>
                <w:b/>
                <w:bCs/>
                <w:sz w:val="20"/>
                <w:szCs w:val="20"/>
              </w:rPr>
              <w:t>Based on the curriculum for this week, which skill</w:t>
            </w:r>
            <w:r w:rsidR="0085055D" w:rsidRPr="003E2B6C">
              <w:rPr>
                <w:rFonts w:ascii="Cambria" w:hAnsi="Cambria"/>
                <w:b/>
                <w:bCs/>
                <w:sz w:val="20"/>
                <w:szCs w:val="20"/>
              </w:rPr>
              <w:t>(</w:t>
            </w:r>
            <w:r w:rsidRPr="003E2B6C">
              <w:rPr>
                <w:rFonts w:ascii="Cambria" w:hAnsi="Cambria"/>
                <w:b/>
                <w:bCs/>
                <w:sz w:val="20"/>
                <w:szCs w:val="20"/>
              </w:rPr>
              <w:t>s</w:t>
            </w:r>
            <w:r w:rsidR="0085055D" w:rsidRPr="003E2B6C">
              <w:rPr>
                <w:rFonts w:ascii="Cambria" w:hAnsi="Cambria"/>
                <w:b/>
                <w:bCs/>
                <w:sz w:val="20"/>
                <w:szCs w:val="20"/>
              </w:rPr>
              <w:t>)</w:t>
            </w:r>
            <w:r w:rsidRPr="003E2B6C">
              <w:rPr>
                <w:rFonts w:ascii="Cambria" w:hAnsi="Cambria"/>
                <w:b/>
                <w:bCs/>
                <w:sz w:val="20"/>
                <w:szCs w:val="20"/>
              </w:rPr>
              <w:t xml:space="preserve"> need</w:t>
            </w:r>
            <w:r w:rsidR="0085055D" w:rsidRPr="003E2B6C">
              <w:rPr>
                <w:rFonts w:ascii="Cambria" w:hAnsi="Cambria"/>
                <w:b/>
                <w:bCs/>
                <w:sz w:val="20"/>
                <w:szCs w:val="20"/>
              </w:rPr>
              <w:t>(s)</w:t>
            </w:r>
            <w:r w:rsidRPr="003E2B6C">
              <w:rPr>
                <w:rFonts w:ascii="Cambria" w:hAnsi="Cambria"/>
                <w:b/>
                <w:bCs/>
                <w:sz w:val="20"/>
                <w:szCs w:val="20"/>
              </w:rPr>
              <w:t xml:space="preserve"> development?</w:t>
            </w:r>
          </w:p>
        </w:tc>
        <w:tc>
          <w:tcPr>
            <w:tcW w:w="4824" w:type="dxa"/>
            <w:gridSpan w:val="5"/>
            <w:tcBorders>
              <w:top w:val="single" w:sz="4" w:space="0" w:color="auto"/>
              <w:left w:val="single" w:sz="4" w:space="0" w:color="auto"/>
              <w:bottom w:val="single" w:sz="4" w:space="0" w:color="auto"/>
              <w:right w:val="single" w:sz="4" w:space="0" w:color="auto"/>
            </w:tcBorders>
            <w:shd w:val="clear" w:color="auto" w:fill="CC90FF"/>
          </w:tcPr>
          <w:p w14:paraId="38FEB8A9" w14:textId="73B5B7FE" w:rsidR="00FB38FA" w:rsidRPr="003E2B6C" w:rsidRDefault="00746049" w:rsidP="003E2B6C">
            <w:pPr>
              <w:rPr>
                <w:rFonts w:ascii="Cambria" w:hAnsi="Cambria"/>
                <w:b/>
                <w:bCs/>
                <w:color w:val="201F1E"/>
                <w:sz w:val="20"/>
                <w:szCs w:val="20"/>
              </w:rPr>
            </w:pPr>
            <w:r w:rsidRPr="003E2B6C">
              <w:rPr>
                <w:rFonts w:ascii="Cambria" w:hAnsi="Cambria"/>
                <w:b/>
                <w:bCs/>
                <w:color w:val="201F1E"/>
                <w:sz w:val="20"/>
                <w:szCs w:val="20"/>
              </w:rPr>
              <w:t xml:space="preserve">How, where, </w:t>
            </w:r>
            <w:r w:rsidR="0085055D" w:rsidRPr="003E2B6C">
              <w:rPr>
                <w:rFonts w:ascii="Cambria" w:hAnsi="Cambria"/>
                <w:b/>
                <w:bCs/>
                <w:color w:val="201F1E"/>
                <w:sz w:val="20"/>
                <w:szCs w:val="20"/>
              </w:rPr>
              <w:t xml:space="preserve">and/or </w:t>
            </w:r>
            <w:r w:rsidRPr="003E2B6C">
              <w:rPr>
                <w:rFonts w:ascii="Cambria" w:hAnsi="Cambria"/>
                <w:b/>
                <w:bCs/>
                <w:color w:val="201F1E"/>
                <w:sz w:val="20"/>
                <w:szCs w:val="20"/>
              </w:rPr>
              <w:t>when could the trainee observe, practice and/or receive feedback on these skills?</w:t>
            </w:r>
          </w:p>
        </w:tc>
      </w:tr>
      <w:tr w:rsidR="00FB38FA" w:rsidRPr="00F07217" w14:paraId="19ADFC6E" w14:textId="77777777" w:rsidTr="00697DAE">
        <w:trPr>
          <w:trHeight w:val="301"/>
        </w:trPr>
        <w:tc>
          <w:tcPr>
            <w:tcW w:w="1883" w:type="dxa"/>
            <w:vMerge/>
            <w:tcBorders>
              <w:left w:val="single" w:sz="4" w:space="0" w:color="auto"/>
              <w:right w:val="single" w:sz="4" w:space="0" w:color="auto"/>
            </w:tcBorders>
            <w:shd w:val="clear" w:color="auto" w:fill="CC90FF"/>
          </w:tcPr>
          <w:p w14:paraId="317BB4BF"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4"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697DAE">
        <w:trPr>
          <w:trHeight w:val="301"/>
        </w:trPr>
        <w:tc>
          <w:tcPr>
            <w:tcW w:w="1883" w:type="dxa"/>
            <w:vMerge/>
            <w:tcBorders>
              <w:left w:val="single" w:sz="4" w:space="0" w:color="auto"/>
              <w:right w:val="single" w:sz="4" w:space="0" w:color="auto"/>
            </w:tcBorders>
            <w:shd w:val="clear" w:color="auto" w:fill="CC90FF"/>
          </w:tcPr>
          <w:p w14:paraId="42B9B59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4"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697DAE">
        <w:trPr>
          <w:trHeight w:val="301"/>
        </w:trPr>
        <w:tc>
          <w:tcPr>
            <w:tcW w:w="1883" w:type="dxa"/>
            <w:vMerge/>
            <w:tcBorders>
              <w:left w:val="single" w:sz="4" w:space="0" w:color="auto"/>
              <w:bottom w:val="single" w:sz="4" w:space="0" w:color="auto"/>
              <w:right w:val="single" w:sz="4" w:space="0" w:color="auto"/>
            </w:tcBorders>
            <w:shd w:val="clear" w:color="auto" w:fill="CC90FF"/>
          </w:tcPr>
          <w:p w14:paraId="7A4CF4F8" w14:textId="77777777" w:rsidR="00FB38FA" w:rsidRPr="00523D39" w:rsidRDefault="00FB38FA" w:rsidP="00B5000E">
            <w:pPr>
              <w:spacing w:line="237" w:lineRule="auto"/>
              <w:jc w:val="center"/>
              <w:rPr>
                <w:rFonts w:ascii="Cambria" w:hAnsi="Cambria"/>
                <w:noProof/>
                <w:sz w:val="20"/>
                <w:szCs w:val="20"/>
              </w:rPr>
            </w:pPr>
          </w:p>
        </w:tc>
        <w:tc>
          <w:tcPr>
            <w:tcW w:w="4776"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4"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428014C"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r w:rsidR="00474CE8">
              <w:rPr>
                <w:rFonts w:ascii="Cambria" w:hAnsi="Cambria" w:cs="Arial"/>
                <w:b/>
                <w:bCs/>
                <w:sz w:val="20"/>
                <w:szCs w:val="20"/>
              </w:rPr>
              <w:t xml:space="preserve"> and has demonstrated appropriate professional behaviours</w:t>
            </w:r>
            <w:r w:rsidR="00132F3C" w:rsidRPr="00F83C7A">
              <w:rPr>
                <w:rFonts w:ascii="Cambria" w:hAnsi="Cambria" w:cs="Arial"/>
                <w:b/>
                <w:bCs/>
                <w:sz w:val="20"/>
                <w:szCs w:val="20"/>
              </w:rPr>
              <w:t>.</w:t>
            </w:r>
          </w:p>
          <w:p w14:paraId="015224A5" w14:textId="673E4106"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but th</w:t>
            </w:r>
            <w:r w:rsidR="00C0716F">
              <w:rPr>
                <w:rFonts w:ascii="Cambria" w:hAnsi="Cambria" w:cs="Arial"/>
                <w:b/>
                <w:bCs/>
                <w:sz w:val="20"/>
                <w:szCs w:val="20"/>
              </w:rPr>
              <w:t>ey</w:t>
            </w:r>
            <w:r w:rsidR="0036642F" w:rsidRPr="00F83C7A">
              <w:rPr>
                <w:rFonts w:ascii="Cambria" w:hAnsi="Cambria" w:cs="Arial"/>
                <w:b/>
                <w:bCs/>
                <w:sz w:val="20"/>
                <w:szCs w:val="20"/>
              </w:rPr>
              <w:t xml:space="preserve"> </w:t>
            </w:r>
            <w:r w:rsidR="004933A3" w:rsidRPr="00F83C7A">
              <w:rPr>
                <w:rFonts w:ascii="Cambria" w:hAnsi="Cambria" w:cs="Arial"/>
                <w:b/>
                <w:bCs/>
                <w:sz w:val="20"/>
                <w:szCs w:val="20"/>
              </w:rPr>
              <w:t>ha</w:t>
            </w:r>
            <w:r w:rsidR="00C0716F">
              <w:rPr>
                <w:rFonts w:ascii="Cambria" w:hAnsi="Cambria" w:cs="Arial"/>
                <w:b/>
                <w:bCs/>
                <w:sz w:val="20"/>
                <w:szCs w:val="20"/>
              </w:rPr>
              <w:t>ve</w:t>
            </w:r>
            <w:r w:rsidR="004933A3" w:rsidRPr="00F83C7A">
              <w:rPr>
                <w:rFonts w:ascii="Cambria" w:hAnsi="Cambria" w:cs="Arial"/>
                <w:b/>
                <w:bCs/>
                <w:sz w:val="20"/>
                <w:szCs w:val="20"/>
              </w:rPr>
              <w:t xml:space="preserve">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2824F587"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is not making sufficient progress through the curriculum</w:t>
            </w:r>
            <w:r w:rsidR="00474CE8">
              <w:rPr>
                <w:rFonts w:ascii="Cambria" w:hAnsi="Cambria" w:cs="Arial"/>
                <w:b/>
                <w:bCs/>
                <w:sz w:val="20"/>
                <w:szCs w:val="20"/>
              </w:rPr>
              <w:t xml:space="preserve"> and/or has not displayed the appropriate professional behaviours</w:t>
            </w:r>
            <w:r w:rsidR="00164C19" w:rsidRPr="00F83C7A">
              <w:rPr>
                <w:rFonts w:ascii="Cambria" w:hAnsi="Cambria" w:cs="Arial"/>
                <w:b/>
                <w:bCs/>
                <w:sz w:val="20"/>
                <w:szCs w:val="20"/>
              </w:rPr>
              <w:t xml:space="preserve">.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EF50F0">
        <w:trPr>
          <w:trHeight w:val="448"/>
        </w:trPr>
        <w:tc>
          <w:tcPr>
            <w:tcW w:w="1050" w:type="pct"/>
            <w:shd w:val="clear" w:color="auto" w:fill="CC90FF"/>
          </w:tcPr>
          <w:p w14:paraId="22A85F45" w14:textId="1ADDF33E" w:rsidR="005C4DE7" w:rsidRPr="00F83C7A" w:rsidRDefault="005C4DE7" w:rsidP="5089E633">
            <w:pPr>
              <w:spacing w:after="0" w:line="240" w:lineRule="auto"/>
              <w:rPr>
                <w:rFonts w:ascii="Cambria" w:hAnsi="Cambria" w:cs="Arial"/>
                <w:b/>
                <w:bCs/>
              </w:rPr>
            </w:pPr>
            <w:r w:rsidRPr="5089E633">
              <w:rPr>
                <w:rFonts w:ascii="Cambria" w:hAnsi="Cambria" w:cs="Arial"/>
                <w:b/>
                <w:bCs/>
              </w:rPr>
              <w:t>Mentor</w:t>
            </w:r>
            <w:r w:rsidR="137B6F41" w:rsidRPr="5089E633">
              <w:rPr>
                <w:rFonts w:ascii="Cambria" w:hAnsi="Cambria" w:cs="Arial"/>
                <w:b/>
                <w:bCs/>
              </w:rPr>
              <w:t xml:space="preserve"> (name)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0DD1E78" w14:textId="77777777" w:rsidTr="5089E633">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D628A9">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F570E" w14:textId="77777777" w:rsidR="00CB7B3A" w:rsidRDefault="00CB7B3A" w:rsidP="00BB0205">
      <w:pPr>
        <w:spacing w:after="0" w:line="240" w:lineRule="auto"/>
      </w:pPr>
      <w:r>
        <w:separator/>
      </w:r>
    </w:p>
  </w:endnote>
  <w:endnote w:type="continuationSeparator" w:id="0">
    <w:p w14:paraId="02FD4D7B" w14:textId="77777777" w:rsidR="00CB7B3A" w:rsidRDefault="00CB7B3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E0CEB" w14:textId="77777777" w:rsidR="00CB7B3A" w:rsidRDefault="00CB7B3A" w:rsidP="00BB0205">
      <w:pPr>
        <w:spacing w:after="0" w:line="240" w:lineRule="auto"/>
      </w:pPr>
      <w:r>
        <w:separator/>
      </w:r>
    </w:p>
  </w:footnote>
  <w:footnote w:type="continuationSeparator" w:id="0">
    <w:p w14:paraId="611224F2" w14:textId="77777777" w:rsidR="00CB7B3A" w:rsidRDefault="00CB7B3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664EA"/>
    <w:rsid w:val="000A4500"/>
    <w:rsid w:val="000C0420"/>
    <w:rsid w:val="000D2747"/>
    <w:rsid w:val="000D5631"/>
    <w:rsid w:val="000D6922"/>
    <w:rsid w:val="000F7F57"/>
    <w:rsid w:val="00132F3C"/>
    <w:rsid w:val="001351A6"/>
    <w:rsid w:val="0014173F"/>
    <w:rsid w:val="001436B1"/>
    <w:rsid w:val="001506CA"/>
    <w:rsid w:val="00164C19"/>
    <w:rsid w:val="00166757"/>
    <w:rsid w:val="00187942"/>
    <w:rsid w:val="00193244"/>
    <w:rsid w:val="001A090B"/>
    <w:rsid w:val="001B0667"/>
    <w:rsid w:val="001B46A9"/>
    <w:rsid w:val="001B5C6F"/>
    <w:rsid w:val="001B5DFB"/>
    <w:rsid w:val="001D3CFD"/>
    <w:rsid w:val="001E17E8"/>
    <w:rsid w:val="001E5B59"/>
    <w:rsid w:val="001F2CB3"/>
    <w:rsid w:val="0020392C"/>
    <w:rsid w:val="00203B1D"/>
    <w:rsid w:val="00205900"/>
    <w:rsid w:val="002073B3"/>
    <w:rsid w:val="002077E7"/>
    <w:rsid w:val="0021448E"/>
    <w:rsid w:val="002176C6"/>
    <w:rsid w:val="00222692"/>
    <w:rsid w:val="00224281"/>
    <w:rsid w:val="002402B7"/>
    <w:rsid w:val="00244BD5"/>
    <w:rsid w:val="0024608C"/>
    <w:rsid w:val="00255D4F"/>
    <w:rsid w:val="00257C5E"/>
    <w:rsid w:val="00267F20"/>
    <w:rsid w:val="00275428"/>
    <w:rsid w:val="00275519"/>
    <w:rsid w:val="00284E41"/>
    <w:rsid w:val="002945B0"/>
    <w:rsid w:val="002D6840"/>
    <w:rsid w:val="002D71BC"/>
    <w:rsid w:val="002F0646"/>
    <w:rsid w:val="003116FA"/>
    <w:rsid w:val="003132BC"/>
    <w:rsid w:val="003324D5"/>
    <w:rsid w:val="00333FF9"/>
    <w:rsid w:val="00341E44"/>
    <w:rsid w:val="003433DA"/>
    <w:rsid w:val="003558A2"/>
    <w:rsid w:val="00360B99"/>
    <w:rsid w:val="00360FDF"/>
    <w:rsid w:val="00362E65"/>
    <w:rsid w:val="0036642F"/>
    <w:rsid w:val="00376E8F"/>
    <w:rsid w:val="00381F63"/>
    <w:rsid w:val="00387F4F"/>
    <w:rsid w:val="00393C9C"/>
    <w:rsid w:val="003C0614"/>
    <w:rsid w:val="003C1D2B"/>
    <w:rsid w:val="003E1F60"/>
    <w:rsid w:val="003E2B6C"/>
    <w:rsid w:val="003E4513"/>
    <w:rsid w:val="003E7131"/>
    <w:rsid w:val="003F297E"/>
    <w:rsid w:val="004009A7"/>
    <w:rsid w:val="00402356"/>
    <w:rsid w:val="00403E3F"/>
    <w:rsid w:val="00446426"/>
    <w:rsid w:val="0045001E"/>
    <w:rsid w:val="00451F49"/>
    <w:rsid w:val="00464034"/>
    <w:rsid w:val="00470596"/>
    <w:rsid w:val="00474CE8"/>
    <w:rsid w:val="00485777"/>
    <w:rsid w:val="004933A3"/>
    <w:rsid w:val="00493E56"/>
    <w:rsid w:val="004A0E13"/>
    <w:rsid w:val="004B5455"/>
    <w:rsid w:val="004C3CDB"/>
    <w:rsid w:val="004D131D"/>
    <w:rsid w:val="004D6867"/>
    <w:rsid w:val="004E5BB2"/>
    <w:rsid w:val="004F5A59"/>
    <w:rsid w:val="005031C0"/>
    <w:rsid w:val="005061DF"/>
    <w:rsid w:val="005074F9"/>
    <w:rsid w:val="005113AE"/>
    <w:rsid w:val="005120DA"/>
    <w:rsid w:val="00523D39"/>
    <w:rsid w:val="00532449"/>
    <w:rsid w:val="00542102"/>
    <w:rsid w:val="005502E1"/>
    <w:rsid w:val="005511A4"/>
    <w:rsid w:val="005532B5"/>
    <w:rsid w:val="00553CE4"/>
    <w:rsid w:val="00554743"/>
    <w:rsid w:val="00556F37"/>
    <w:rsid w:val="00560B2D"/>
    <w:rsid w:val="00560FE2"/>
    <w:rsid w:val="00570FB3"/>
    <w:rsid w:val="0057496A"/>
    <w:rsid w:val="005775AE"/>
    <w:rsid w:val="00580D88"/>
    <w:rsid w:val="00581390"/>
    <w:rsid w:val="00586ACC"/>
    <w:rsid w:val="00596EDA"/>
    <w:rsid w:val="005A6715"/>
    <w:rsid w:val="005B4FD8"/>
    <w:rsid w:val="005B548F"/>
    <w:rsid w:val="005C4629"/>
    <w:rsid w:val="005C4DE7"/>
    <w:rsid w:val="005D3524"/>
    <w:rsid w:val="005D6C0E"/>
    <w:rsid w:val="005E244C"/>
    <w:rsid w:val="005E5836"/>
    <w:rsid w:val="005F3947"/>
    <w:rsid w:val="005F5A1C"/>
    <w:rsid w:val="00606867"/>
    <w:rsid w:val="006102D0"/>
    <w:rsid w:val="006112AB"/>
    <w:rsid w:val="006135EC"/>
    <w:rsid w:val="00624699"/>
    <w:rsid w:val="00631D4B"/>
    <w:rsid w:val="00637553"/>
    <w:rsid w:val="00645D9A"/>
    <w:rsid w:val="006466C4"/>
    <w:rsid w:val="0064731C"/>
    <w:rsid w:val="00650A8F"/>
    <w:rsid w:val="00656134"/>
    <w:rsid w:val="00663D4E"/>
    <w:rsid w:val="006758B9"/>
    <w:rsid w:val="00690414"/>
    <w:rsid w:val="00690AD3"/>
    <w:rsid w:val="00690CE7"/>
    <w:rsid w:val="00690DB7"/>
    <w:rsid w:val="006928B6"/>
    <w:rsid w:val="00697DAE"/>
    <w:rsid w:val="006A2DCB"/>
    <w:rsid w:val="006A777B"/>
    <w:rsid w:val="006B15D7"/>
    <w:rsid w:val="006B3909"/>
    <w:rsid w:val="006C0609"/>
    <w:rsid w:val="006C2B39"/>
    <w:rsid w:val="006D52FD"/>
    <w:rsid w:val="006E789E"/>
    <w:rsid w:val="00703A42"/>
    <w:rsid w:val="007052C0"/>
    <w:rsid w:val="0071620C"/>
    <w:rsid w:val="00723015"/>
    <w:rsid w:val="00726BDF"/>
    <w:rsid w:val="00745BFC"/>
    <w:rsid w:val="00746049"/>
    <w:rsid w:val="0075782C"/>
    <w:rsid w:val="00760D48"/>
    <w:rsid w:val="00775637"/>
    <w:rsid w:val="0078737C"/>
    <w:rsid w:val="007904BD"/>
    <w:rsid w:val="007A010F"/>
    <w:rsid w:val="007A0516"/>
    <w:rsid w:val="007A5EF8"/>
    <w:rsid w:val="007B1A2C"/>
    <w:rsid w:val="007B4199"/>
    <w:rsid w:val="007C2932"/>
    <w:rsid w:val="007C66A6"/>
    <w:rsid w:val="007D2AA4"/>
    <w:rsid w:val="007E2240"/>
    <w:rsid w:val="00800444"/>
    <w:rsid w:val="008151B0"/>
    <w:rsid w:val="008235B7"/>
    <w:rsid w:val="0083229F"/>
    <w:rsid w:val="00842B9B"/>
    <w:rsid w:val="0085055D"/>
    <w:rsid w:val="00854B4E"/>
    <w:rsid w:val="00866227"/>
    <w:rsid w:val="008675C2"/>
    <w:rsid w:val="00876843"/>
    <w:rsid w:val="00894394"/>
    <w:rsid w:val="00895480"/>
    <w:rsid w:val="00895CDD"/>
    <w:rsid w:val="008A3736"/>
    <w:rsid w:val="008A6127"/>
    <w:rsid w:val="008A67D8"/>
    <w:rsid w:val="008A798A"/>
    <w:rsid w:val="008B1D2B"/>
    <w:rsid w:val="008C5CA6"/>
    <w:rsid w:val="008C6ED4"/>
    <w:rsid w:val="008D261C"/>
    <w:rsid w:val="008D6C75"/>
    <w:rsid w:val="008E15AD"/>
    <w:rsid w:val="008E4148"/>
    <w:rsid w:val="008E45A2"/>
    <w:rsid w:val="008E4B82"/>
    <w:rsid w:val="008F03E0"/>
    <w:rsid w:val="00904801"/>
    <w:rsid w:val="00904A05"/>
    <w:rsid w:val="00905887"/>
    <w:rsid w:val="00923CC5"/>
    <w:rsid w:val="00927143"/>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15C1"/>
    <w:rsid w:val="00AC52AF"/>
    <w:rsid w:val="00AD1D6C"/>
    <w:rsid w:val="00AD2305"/>
    <w:rsid w:val="00AE0D6F"/>
    <w:rsid w:val="00AE47A3"/>
    <w:rsid w:val="00AE5D12"/>
    <w:rsid w:val="00B07D68"/>
    <w:rsid w:val="00B109B2"/>
    <w:rsid w:val="00B42894"/>
    <w:rsid w:val="00B5000E"/>
    <w:rsid w:val="00B61B97"/>
    <w:rsid w:val="00B71FAE"/>
    <w:rsid w:val="00B753D0"/>
    <w:rsid w:val="00B75F73"/>
    <w:rsid w:val="00B8188E"/>
    <w:rsid w:val="00B91A31"/>
    <w:rsid w:val="00BA06A2"/>
    <w:rsid w:val="00BA12BC"/>
    <w:rsid w:val="00BA3E39"/>
    <w:rsid w:val="00BB0205"/>
    <w:rsid w:val="00BC2D67"/>
    <w:rsid w:val="00BD1719"/>
    <w:rsid w:val="00BD4942"/>
    <w:rsid w:val="00BF017F"/>
    <w:rsid w:val="00BF1357"/>
    <w:rsid w:val="00BF69C3"/>
    <w:rsid w:val="00BF6FA3"/>
    <w:rsid w:val="00C0716F"/>
    <w:rsid w:val="00C15D55"/>
    <w:rsid w:val="00C50B1D"/>
    <w:rsid w:val="00C60438"/>
    <w:rsid w:val="00C663BC"/>
    <w:rsid w:val="00C67B8B"/>
    <w:rsid w:val="00C714FE"/>
    <w:rsid w:val="00C76D95"/>
    <w:rsid w:val="00C80793"/>
    <w:rsid w:val="00C82FE6"/>
    <w:rsid w:val="00C93F96"/>
    <w:rsid w:val="00C95C29"/>
    <w:rsid w:val="00C97785"/>
    <w:rsid w:val="00CA07FC"/>
    <w:rsid w:val="00CB44DE"/>
    <w:rsid w:val="00CB7B3A"/>
    <w:rsid w:val="00CC5EA8"/>
    <w:rsid w:val="00CD75DC"/>
    <w:rsid w:val="00CE7529"/>
    <w:rsid w:val="00D105DF"/>
    <w:rsid w:val="00D12C87"/>
    <w:rsid w:val="00D26EEE"/>
    <w:rsid w:val="00D628A9"/>
    <w:rsid w:val="00D67B11"/>
    <w:rsid w:val="00D7386B"/>
    <w:rsid w:val="00D8211D"/>
    <w:rsid w:val="00D852D6"/>
    <w:rsid w:val="00D9275F"/>
    <w:rsid w:val="00D9612E"/>
    <w:rsid w:val="00DA4C7E"/>
    <w:rsid w:val="00DB4B64"/>
    <w:rsid w:val="00DC78C4"/>
    <w:rsid w:val="00DD5A4F"/>
    <w:rsid w:val="00DE77C3"/>
    <w:rsid w:val="00DF760B"/>
    <w:rsid w:val="00E20F0A"/>
    <w:rsid w:val="00E22452"/>
    <w:rsid w:val="00E27B26"/>
    <w:rsid w:val="00E457EF"/>
    <w:rsid w:val="00E45891"/>
    <w:rsid w:val="00E5003C"/>
    <w:rsid w:val="00E53DAA"/>
    <w:rsid w:val="00E65DEB"/>
    <w:rsid w:val="00E70C1C"/>
    <w:rsid w:val="00EA77D3"/>
    <w:rsid w:val="00EB1FA3"/>
    <w:rsid w:val="00ED360A"/>
    <w:rsid w:val="00EE0C18"/>
    <w:rsid w:val="00EE1D6A"/>
    <w:rsid w:val="00EE53F3"/>
    <w:rsid w:val="00EE5A74"/>
    <w:rsid w:val="00EE64A0"/>
    <w:rsid w:val="00EF0AF4"/>
    <w:rsid w:val="00EF50F0"/>
    <w:rsid w:val="00F07217"/>
    <w:rsid w:val="00F27212"/>
    <w:rsid w:val="00F320B5"/>
    <w:rsid w:val="00F45E23"/>
    <w:rsid w:val="00F47EC2"/>
    <w:rsid w:val="00F54737"/>
    <w:rsid w:val="00F55928"/>
    <w:rsid w:val="00F5767B"/>
    <w:rsid w:val="00F6789C"/>
    <w:rsid w:val="00F67D1E"/>
    <w:rsid w:val="00F77DFE"/>
    <w:rsid w:val="00F81686"/>
    <w:rsid w:val="00F82C86"/>
    <w:rsid w:val="00F83B94"/>
    <w:rsid w:val="00F83C7A"/>
    <w:rsid w:val="00F83EAA"/>
    <w:rsid w:val="00FA73AF"/>
    <w:rsid w:val="00FB38FA"/>
    <w:rsid w:val="00FB5206"/>
    <w:rsid w:val="00FB5D21"/>
    <w:rsid w:val="00FC0E49"/>
    <w:rsid w:val="00FC1F23"/>
    <w:rsid w:val="00FD10D4"/>
    <w:rsid w:val="00FD47B5"/>
    <w:rsid w:val="00FD57B4"/>
    <w:rsid w:val="00FD6C80"/>
    <w:rsid w:val="00FE47C3"/>
    <w:rsid w:val="00FE7B0A"/>
    <w:rsid w:val="00FF0E23"/>
    <w:rsid w:val="00FF1A1A"/>
    <w:rsid w:val="137B6F41"/>
    <w:rsid w:val="5089E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character" w:styleId="Emphasis">
    <w:name w:val="Emphasis"/>
    <w:basedOn w:val="DefaultParagraphFont"/>
    <w:uiPriority w:val="20"/>
    <w:qFormat/>
    <w:rsid w:val="00BD49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remote-and-blended-learning-good-practice-fe-colleg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t-foundation.co.uk/wp-content/uploads/2021/11/02.-Cambridge-Regional-College-Collaborative-planning-as-a-tool-for-teacher-professional-development.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Justine Smith</cp:lastModifiedBy>
  <cp:revision>2</cp:revision>
  <cp:lastPrinted>2023-05-18T14:08:00Z</cp:lastPrinted>
  <dcterms:created xsi:type="dcterms:W3CDTF">2024-11-13T08:26:00Z</dcterms:created>
  <dcterms:modified xsi:type="dcterms:W3CDTF">2024-11-13T08:26:00Z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