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36E737A" w:rsidR="004009A7" w:rsidRPr="00523D39" w:rsidRDefault="00096970">
            <w:pPr>
              <w:jc w:val="both"/>
              <w:rPr>
                <w:rFonts w:ascii="Cambria" w:hAnsi="Cambria"/>
                <w:b/>
                <w:bCs/>
                <w:sz w:val="20"/>
                <w:szCs w:val="20"/>
              </w:rPr>
            </w:pPr>
            <w:r>
              <w:rPr>
                <w:rFonts w:ascii="Cambria" w:hAnsi="Cambria"/>
                <w:b/>
                <w:bCs/>
                <w:sz w:val="20"/>
                <w:szCs w:val="20"/>
              </w:rPr>
              <w:t xml:space="preserve">DEVELOPMENTAL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67DE40D" w:rsidR="004009A7" w:rsidRPr="00523D39" w:rsidRDefault="00096970">
            <w:pPr>
              <w:jc w:val="both"/>
              <w:rPr>
                <w:rFonts w:ascii="Cambria" w:hAnsi="Cambria"/>
                <w:b/>
                <w:bCs/>
                <w:sz w:val="20"/>
                <w:szCs w:val="20"/>
              </w:rPr>
            </w:pPr>
            <w:r>
              <w:rPr>
                <w:rFonts w:ascii="Cambria" w:hAnsi="Cambria"/>
                <w:b/>
                <w:bCs/>
                <w:sz w:val="20"/>
                <w:szCs w:val="20"/>
              </w:rPr>
              <w:t>2</w:t>
            </w:r>
            <w:r w:rsidR="00514020">
              <w:rPr>
                <w:rFonts w:ascii="Cambria" w:hAnsi="Cambria"/>
                <w:b/>
                <w:bCs/>
                <w:sz w:val="20"/>
                <w:szCs w:val="20"/>
              </w:rPr>
              <w:t>8</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F005D6"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F005D6" w:rsidRDefault="00F005D6" w:rsidP="00F005D6">
            <w:pPr>
              <w:rPr>
                <w:rFonts w:ascii="Cambria" w:hAnsi="Cambria"/>
                <w:b/>
                <w:bCs/>
                <w:sz w:val="20"/>
                <w:szCs w:val="20"/>
              </w:rPr>
            </w:pPr>
            <w:r w:rsidRPr="00523D39">
              <w:rPr>
                <w:rFonts w:ascii="Cambria" w:hAnsi="Cambria"/>
                <w:b/>
                <w:bCs/>
                <w:sz w:val="20"/>
                <w:szCs w:val="20"/>
              </w:rPr>
              <w:t>Key reading for the week</w:t>
            </w:r>
          </w:p>
          <w:p w14:paraId="14013C1B" w14:textId="77777777" w:rsidR="00F005D6" w:rsidRPr="00523D39" w:rsidRDefault="00F005D6" w:rsidP="00F005D6">
            <w:pPr>
              <w:rPr>
                <w:rFonts w:ascii="Cambria" w:hAnsi="Cambria"/>
                <w:b/>
                <w:bCs/>
                <w:sz w:val="20"/>
                <w:szCs w:val="20"/>
              </w:rPr>
            </w:pPr>
          </w:p>
          <w:p w14:paraId="4E67F24B" w14:textId="11E5B013" w:rsidR="00F005D6" w:rsidRPr="00523D39" w:rsidRDefault="00F005D6" w:rsidP="00F005D6">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668C2247" w14:textId="5FA0397F" w:rsidR="00EA5E95" w:rsidRPr="006C5B6D" w:rsidRDefault="00F005D6" w:rsidP="006C5B6D">
            <w:pPr>
              <w:jc w:val="both"/>
              <w:rPr>
                <w:rFonts w:ascii="Cambria" w:hAnsi="Cambria" w:cstheme="minorHAnsi"/>
                <w:b/>
                <w:bCs/>
                <w:sz w:val="24"/>
                <w:szCs w:val="24"/>
              </w:rPr>
            </w:pPr>
            <w:r w:rsidRPr="005074F9">
              <w:rPr>
                <w:rFonts w:ascii="Cambria" w:hAnsi="Cambria" w:cstheme="minorHAnsi"/>
                <w:b/>
                <w:bCs/>
                <w:sz w:val="24"/>
                <w:szCs w:val="24"/>
              </w:rPr>
              <w:t>Summary</w:t>
            </w:r>
            <w:r w:rsidR="00DE15B2">
              <w:rPr>
                <w:rFonts w:ascii="Cambria" w:hAnsi="Cambria" w:cstheme="minorHAnsi"/>
                <w:b/>
                <w:bCs/>
                <w:sz w:val="24"/>
                <w:szCs w:val="24"/>
              </w:rPr>
              <w:t>:</w:t>
            </w:r>
            <w:r w:rsidR="001D76BE">
              <w:rPr>
                <w:rFonts w:ascii="Cambria" w:hAnsi="Cambria" w:cstheme="minorHAnsi"/>
                <w:b/>
                <w:bCs/>
                <w:sz w:val="24"/>
                <w:szCs w:val="24"/>
              </w:rPr>
              <w:t xml:space="preserve"> </w:t>
            </w:r>
            <w:r w:rsidR="006C5B6D" w:rsidRPr="006C5B6D">
              <w:rPr>
                <w:rFonts w:ascii="Cambria" w:hAnsi="Cambria" w:cstheme="minorHAnsi"/>
                <w:b/>
                <w:bCs/>
                <w:sz w:val="24"/>
                <w:szCs w:val="24"/>
              </w:rPr>
              <w:t xml:space="preserve">This chapter </w:t>
            </w:r>
            <w:r w:rsidR="006C5B6D">
              <w:rPr>
                <w:rFonts w:ascii="Cambria" w:hAnsi="Cambria" w:cstheme="minorHAnsi"/>
                <w:b/>
                <w:bCs/>
                <w:sz w:val="24"/>
                <w:szCs w:val="24"/>
              </w:rPr>
              <w:t xml:space="preserve">of </w:t>
            </w:r>
            <w:proofErr w:type="spellStart"/>
            <w:r w:rsidR="006C5B6D">
              <w:rPr>
                <w:rFonts w:ascii="Cambria" w:hAnsi="Cambria" w:cstheme="minorHAnsi"/>
                <w:b/>
                <w:bCs/>
                <w:sz w:val="24"/>
                <w:szCs w:val="24"/>
              </w:rPr>
              <w:t>Lebor’s</w:t>
            </w:r>
            <w:proofErr w:type="spellEnd"/>
            <w:r w:rsidR="006C5B6D">
              <w:rPr>
                <w:rFonts w:ascii="Cambria" w:hAnsi="Cambria" w:cstheme="minorHAnsi"/>
                <w:b/>
                <w:bCs/>
                <w:sz w:val="24"/>
                <w:szCs w:val="24"/>
              </w:rPr>
              <w:t xml:space="preserve"> book </w:t>
            </w:r>
            <w:r w:rsidR="006C5B6D" w:rsidRPr="006C5B6D">
              <w:rPr>
                <w:rFonts w:ascii="Cambria" w:hAnsi="Cambria" w:cstheme="minorHAnsi"/>
                <w:b/>
                <w:bCs/>
                <w:sz w:val="24"/>
                <w:szCs w:val="24"/>
              </w:rPr>
              <w:t>examines different versions of learning and teaching and explores whether these understandings are helpful lenses through which to operate in the complex and sometimes fraught relationships that exist</w:t>
            </w:r>
            <w:r w:rsidR="006C5B6D">
              <w:rPr>
                <w:rFonts w:ascii="Cambria" w:hAnsi="Cambria" w:cstheme="minorHAnsi"/>
                <w:b/>
                <w:bCs/>
                <w:sz w:val="24"/>
                <w:szCs w:val="24"/>
              </w:rPr>
              <w:t xml:space="preserve"> </w:t>
            </w:r>
            <w:r w:rsidR="006C5B6D" w:rsidRPr="006C5B6D">
              <w:rPr>
                <w:rFonts w:ascii="Cambria" w:hAnsi="Cambria" w:cstheme="minorHAnsi"/>
                <w:b/>
                <w:bCs/>
                <w:sz w:val="24"/>
                <w:szCs w:val="24"/>
              </w:rPr>
              <w:t xml:space="preserve">between teachers and students in post-school education. </w:t>
            </w:r>
            <w:r w:rsidR="006C5B6D">
              <w:rPr>
                <w:rFonts w:ascii="Cambria" w:hAnsi="Cambria" w:cstheme="minorHAnsi"/>
                <w:b/>
                <w:bCs/>
                <w:sz w:val="24"/>
                <w:szCs w:val="24"/>
              </w:rPr>
              <w:t>The author</w:t>
            </w:r>
            <w:r w:rsidR="006C5B6D" w:rsidRPr="006C5B6D">
              <w:rPr>
                <w:rFonts w:ascii="Cambria" w:hAnsi="Cambria" w:cstheme="minorHAnsi"/>
                <w:b/>
                <w:bCs/>
                <w:sz w:val="24"/>
                <w:szCs w:val="24"/>
              </w:rPr>
              <w:t xml:space="preserve"> explore</w:t>
            </w:r>
            <w:r w:rsidR="006C5B6D">
              <w:rPr>
                <w:rFonts w:ascii="Cambria" w:hAnsi="Cambria" w:cstheme="minorHAnsi"/>
                <w:b/>
                <w:bCs/>
                <w:sz w:val="24"/>
                <w:szCs w:val="24"/>
              </w:rPr>
              <w:t xml:space="preserve">s </w:t>
            </w:r>
            <w:r w:rsidR="006C5B6D" w:rsidRPr="006C5B6D">
              <w:rPr>
                <w:rFonts w:ascii="Cambria" w:hAnsi="Cambria" w:cstheme="minorHAnsi"/>
                <w:b/>
                <w:bCs/>
                <w:sz w:val="24"/>
                <w:szCs w:val="24"/>
              </w:rPr>
              <w:t>learning through various theoretical understandings, such as Behaviourism,</w:t>
            </w:r>
            <w:r w:rsidR="006C5B6D">
              <w:rPr>
                <w:rFonts w:ascii="Cambria" w:hAnsi="Cambria" w:cstheme="minorHAnsi"/>
                <w:b/>
                <w:bCs/>
                <w:sz w:val="24"/>
                <w:szCs w:val="24"/>
              </w:rPr>
              <w:t xml:space="preserve"> </w:t>
            </w:r>
            <w:r w:rsidR="006C5B6D" w:rsidRPr="006C5B6D">
              <w:rPr>
                <w:rFonts w:ascii="Cambria" w:hAnsi="Cambria" w:cstheme="minorHAnsi"/>
                <w:b/>
                <w:bCs/>
                <w:sz w:val="24"/>
                <w:szCs w:val="24"/>
              </w:rPr>
              <w:t>Cognitivism, Constructivism and Humanism, the focus each time is when learning is, for many reasons, resisted. Teachers are sometimes faced with difficult situations, stretching from outright violence in some college environments to rejection or indifference in HE. There is a gap between theories of learning and the actualities of what happens in the classroom.</w:t>
            </w:r>
          </w:p>
          <w:p w14:paraId="09CB39A4" w14:textId="112CC8FB" w:rsidR="00DE15B2" w:rsidRPr="006C5B6D" w:rsidRDefault="00EA5E95" w:rsidP="006C5B6D">
            <w:pPr>
              <w:jc w:val="both"/>
              <w:rPr>
                <w:rFonts w:ascii="Cambria" w:hAnsi="Cambria" w:cstheme="minorHAnsi"/>
                <w:b/>
                <w:bCs/>
                <w:sz w:val="24"/>
                <w:szCs w:val="24"/>
              </w:rPr>
            </w:pPr>
            <w:r>
              <w:rPr>
                <w:rFonts w:ascii="Cambria" w:hAnsi="Cambria" w:cstheme="minorHAnsi"/>
                <w:b/>
                <w:bCs/>
                <w:sz w:val="24"/>
                <w:szCs w:val="24"/>
              </w:rPr>
              <w:t>L</w:t>
            </w:r>
            <w:r w:rsidR="00DD6235" w:rsidRPr="003D5B21">
              <w:rPr>
                <w:rFonts w:ascii="Cambria" w:hAnsi="Cambria" w:cstheme="minorHAnsi"/>
                <w:b/>
                <w:bCs/>
                <w:sz w:val="24"/>
                <w:szCs w:val="24"/>
              </w:rPr>
              <w:t>imitations</w:t>
            </w:r>
            <w:r w:rsidR="003D5B21" w:rsidRPr="003D5B21">
              <w:rPr>
                <w:rFonts w:ascii="Cambria" w:hAnsi="Cambria" w:cstheme="minorHAnsi"/>
                <w:b/>
                <w:bCs/>
                <w:sz w:val="24"/>
                <w:szCs w:val="24"/>
              </w:rPr>
              <w:t>:</w:t>
            </w:r>
            <w:r w:rsidR="003D5B21">
              <w:rPr>
                <w:rFonts w:ascii="Cambria" w:hAnsi="Cambria" w:cstheme="minorHAnsi"/>
                <w:b/>
                <w:bCs/>
                <w:sz w:val="20"/>
                <w:szCs w:val="20"/>
              </w:rPr>
              <w:t xml:space="preserve"> </w:t>
            </w:r>
            <w:r w:rsidR="006C5B6D" w:rsidRPr="006C5B6D">
              <w:rPr>
                <w:rFonts w:ascii="Cambria" w:hAnsi="Cambria" w:cstheme="minorHAnsi"/>
                <w:b/>
                <w:bCs/>
                <w:sz w:val="24"/>
                <w:szCs w:val="24"/>
              </w:rPr>
              <w:t xml:space="preserve">The strategies discussed may not be universally applicable across all educational settings or cultural contexts. Educators may need to adapt recommendations to fit their specific circumstances. Some </w:t>
            </w:r>
            <w:r w:rsidR="006C5B6D" w:rsidRPr="006C5B6D">
              <w:rPr>
                <w:rFonts w:ascii="Cambria" w:hAnsi="Cambria" w:cstheme="minorHAnsi"/>
                <w:b/>
                <w:bCs/>
                <w:sz w:val="24"/>
                <w:szCs w:val="24"/>
              </w:rPr>
              <w:t xml:space="preserve">of the </w:t>
            </w:r>
            <w:r w:rsidR="006C5B6D" w:rsidRPr="006C5B6D">
              <w:rPr>
                <w:rFonts w:ascii="Cambria" w:hAnsi="Cambria" w:cstheme="minorHAnsi"/>
                <w:b/>
                <w:bCs/>
                <w:sz w:val="24"/>
                <w:szCs w:val="24"/>
              </w:rPr>
              <w:t>suggested approaches might require resources or support systems that are not readily available in all institutions, potentially limiting their implementation.</w:t>
            </w:r>
            <w:r w:rsidR="006C5B6D" w:rsidRPr="006C5B6D">
              <w:rPr>
                <w:rFonts w:ascii="Cambria" w:hAnsi="Cambria" w:cstheme="minorHAnsi"/>
                <w:b/>
                <w:bCs/>
                <w:sz w:val="24"/>
                <w:szCs w:val="24"/>
              </w:rPr>
              <w:t xml:space="preserve"> The chapter </w:t>
            </w:r>
            <w:r w:rsidR="006C5B6D" w:rsidRPr="006C5B6D">
              <w:rPr>
                <w:rFonts w:ascii="Cambria" w:hAnsi="Cambria" w:cstheme="minorHAnsi"/>
                <w:b/>
                <w:bCs/>
                <w:sz w:val="24"/>
                <w:szCs w:val="24"/>
              </w:rPr>
              <w:t>emphasi</w:t>
            </w:r>
            <w:r w:rsidR="006C5B6D" w:rsidRPr="006C5B6D">
              <w:rPr>
                <w:rFonts w:ascii="Cambria" w:hAnsi="Cambria" w:cstheme="minorHAnsi"/>
                <w:b/>
                <w:bCs/>
                <w:sz w:val="24"/>
                <w:szCs w:val="24"/>
              </w:rPr>
              <w:t>s</w:t>
            </w:r>
            <w:r w:rsidR="006C5B6D" w:rsidRPr="006C5B6D">
              <w:rPr>
                <w:rFonts w:ascii="Cambria" w:hAnsi="Cambria" w:cstheme="minorHAnsi"/>
                <w:b/>
                <w:bCs/>
                <w:sz w:val="24"/>
                <w:szCs w:val="24"/>
              </w:rPr>
              <w:t>es strategies educators can employ, it may underemphasi</w:t>
            </w:r>
            <w:r w:rsidR="006C5B6D" w:rsidRPr="006C5B6D">
              <w:rPr>
                <w:rFonts w:ascii="Cambria" w:hAnsi="Cambria" w:cstheme="minorHAnsi"/>
                <w:b/>
                <w:bCs/>
                <w:sz w:val="24"/>
                <w:szCs w:val="24"/>
              </w:rPr>
              <w:t>s</w:t>
            </w:r>
            <w:r w:rsidR="006C5B6D" w:rsidRPr="006C5B6D">
              <w:rPr>
                <w:rFonts w:ascii="Cambria" w:hAnsi="Cambria" w:cstheme="minorHAnsi"/>
                <w:b/>
                <w:bCs/>
                <w:sz w:val="24"/>
                <w:szCs w:val="24"/>
              </w:rPr>
              <w:t>e systemic issues (e.g., institutional policies, socio-economic factors) that contribute to student resistance and are beyond an individual educator's control.</w:t>
            </w:r>
            <w:r w:rsidR="006C5B6D" w:rsidRPr="006C5B6D">
              <w:rPr>
                <w:rFonts w:ascii="Cambria" w:hAnsi="Cambria" w:cstheme="minorHAnsi"/>
                <w:b/>
                <w:bCs/>
                <w:sz w:val="24"/>
                <w:szCs w:val="24"/>
              </w:rPr>
              <w:t xml:space="preserve"> </w:t>
            </w:r>
            <w:proofErr w:type="gramStart"/>
            <w:r w:rsidR="006C5B6D" w:rsidRPr="006C5B6D">
              <w:rPr>
                <w:rFonts w:ascii="Cambria" w:hAnsi="Cambria" w:cstheme="minorHAnsi"/>
                <w:b/>
                <w:bCs/>
                <w:sz w:val="24"/>
                <w:szCs w:val="24"/>
              </w:rPr>
              <w:t>Unfortunately</w:t>
            </w:r>
            <w:proofErr w:type="gramEnd"/>
            <w:r w:rsidR="006C5B6D" w:rsidRPr="006C5B6D">
              <w:rPr>
                <w:rFonts w:ascii="Cambria" w:hAnsi="Cambria" w:cstheme="minorHAnsi"/>
                <w:b/>
                <w:bCs/>
                <w:sz w:val="24"/>
                <w:szCs w:val="24"/>
              </w:rPr>
              <w:t xml:space="preserve"> this chapters content looks at the </w:t>
            </w:r>
            <w:r w:rsidR="006C5B6D" w:rsidRPr="006C5B6D">
              <w:rPr>
                <w:rFonts w:ascii="Cambria" w:hAnsi="Cambria" w:cstheme="minorHAnsi"/>
                <w:b/>
                <w:bCs/>
                <w:sz w:val="24"/>
                <w:szCs w:val="24"/>
              </w:rPr>
              <w:t>One-Size-Fits-All Approach which might not account for the unique needs of all learners</w:t>
            </w:r>
            <w:r w:rsidR="006C5B6D" w:rsidRPr="006C5B6D">
              <w:rPr>
                <w:rFonts w:ascii="Cambria" w:hAnsi="Cambria" w:cstheme="minorHAnsi"/>
                <w:b/>
                <w:bCs/>
                <w:sz w:val="24"/>
                <w:szCs w:val="24"/>
              </w:rPr>
              <w:t xml:space="preserve"> (and teachers)</w:t>
            </w:r>
            <w:r w:rsidR="006C5B6D" w:rsidRPr="006C5B6D">
              <w:rPr>
                <w:rFonts w:ascii="Cambria" w:hAnsi="Cambria" w:cstheme="minorHAnsi"/>
                <w:b/>
                <w:bCs/>
                <w:sz w:val="24"/>
                <w:szCs w:val="24"/>
              </w:rPr>
              <w:t xml:space="preserve">, particularly those with specific learning </w:t>
            </w:r>
            <w:r w:rsidR="006C5B6D" w:rsidRPr="006C5B6D">
              <w:rPr>
                <w:rFonts w:ascii="Cambria" w:hAnsi="Cambria" w:cstheme="minorHAnsi"/>
                <w:b/>
                <w:bCs/>
                <w:sz w:val="24"/>
                <w:szCs w:val="24"/>
              </w:rPr>
              <w:t>needs</w:t>
            </w:r>
            <w:r w:rsidR="006C5B6D" w:rsidRPr="006C5B6D">
              <w:rPr>
                <w:rFonts w:ascii="Cambria" w:hAnsi="Cambria" w:cstheme="minorHAnsi"/>
                <w:b/>
                <w:bCs/>
                <w:sz w:val="24"/>
                <w:szCs w:val="24"/>
              </w:rPr>
              <w:t xml:space="preserve"> or mental health issues.</w:t>
            </w:r>
          </w:p>
          <w:p w14:paraId="2C5A0E3C" w14:textId="395F68F4" w:rsidR="00514020" w:rsidRPr="00C21EF0" w:rsidRDefault="00F005D6" w:rsidP="00514020">
            <w:pPr>
              <w:jc w:val="both"/>
            </w:pPr>
            <w:r w:rsidRPr="005074F9">
              <w:rPr>
                <w:rFonts w:ascii="Cambria" w:hAnsi="Cambria" w:cstheme="minorHAnsi"/>
                <w:b/>
                <w:bCs/>
                <w:sz w:val="24"/>
                <w:szCs w:val="24"/>
              </w:rPr>
              <w:t>Reference</w:t>
            </w:r>
            <w:r>
              <w:rPr>
                <w:b/>
                <w:bCs/>
                <w:sz w:val="24"/>
                <w:szCs w:val="24"/>
              </w:rPr>
              <w:t>:</w:t>
            </w:r>
            <w:r w:rsidR="00754322">
              <w:t xml:space="preserve"> </w:t>
            </w:r>
            <w:proofErr w:type="spellStart"/>
            <w:r w:rsidR="00514020">
              <w:t>Lebor</w:t>
            </w:r>
            <w:proofErr w:type="spellEnd"/>
            <w:r w:rsidR="00514020">
              <w:t>, M. (2022) Teaching Resistant Learners in Post-School Education: A Guide to Working with Challenging Behaviour,</w:t>
            </w:r>
            <w:r w:rsidR="00C21EF0">
              <w:t xml:space="preserve"> </w:t>
            </w:r>
            <w:r w:rsidR="00514020">
              <w:t>Routledge, chapter 3, pp. 51-80,</w:t>
            </w:r>
            <w:r w:rsidR="00C21EF0">
              <w:t xml:space="preserve"> </w:t>
            </w:r>
            <w:hyperlink r:id="rId11" w:history="1">
              <w:r w:rsidR="00C21EF0" w:rsidRPr="00B52455">
                <w:rPr>
                  <w:rStyle w:val="Hyperlink"/>
                </w:rPr>
                <w:t>https://ebookcentral.proquest.com/lib/edgehill/reader.action?docID=7013382&amp;ppg=66</w:t>
              </w:r>
            </w:hyperlink>
            <w:r w:rsidR="00C21EF0">
              <w:t xml:space="preserve"> </w:t>
            </w:r>
          </w:p>
          <w:p w14:paraId="6071F449" w14:textId="4B3BCB2E" w:rsidR="00F005D6" w:rsidRPr="00927143" w:rsidRDefault="00F005D6" w:rsidP="00A95F32">
            <w:pPr>
              <w:jc w:val="both"/>
              <w:rPr>
                <w:color w:val="000000" w:themeColor="text1"/>
              </w:rPr>
            </w:pPr>
          </w:p>
        </w:tc>
      </w:tr>
      <w:tr w:rsidR="00F005D6"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Pr>
                <w:rFonts w:ascii="Cambria" w:eastAsia="Georgia" w:hAnsi="Cambria" w:cs="Georgia"/>
                <w:b/>
                <w:sz w:val="20"/>
                <w:szCs w:val="20"/>
              </w:rPr>
              <w:t>s with the curriculum focus</w:t>
            </w:r>
          </w:p>
          <w:p w14:paraId="25E7C692" w14:textId="77777777" w:rsidR="00F005D6" w:rsidRPr="00523D39" w:rsidRDefault="00F005D6" w:rsidP="00F005D6">
            <w:pPr>
              <w:spacing w:line="237" w:lineRule="auto"/>
              <w:jc w:val="center"/>
              <w:rPr>
                <w:rFonts w:ascii="Cambria" w:eastAsia="Georgia" w:hAnsi="Cambria" w:cs="Georgia"/>
                <w:b/>
                <w:sz w:val="20"/>
                <w:szCs w:val="20"/>
              </w:rPr>
            </w:pPr>
          </w:p>
          <w:p w14:paraId="7314DB2E" w14:textId="289E22A5" w:rsidR="00F005D6" w:rsidRPr="00523D39" w:rsidRDefault="00F005D6" w:rsidP="00F005D6">
            <w:pPr>
              <w:jc w:val="center"/>
              <w:rPr>
                <w:rFonts w:ascii="Cambria" w:hAnsi="Cambria"/>
                <w:b/>
                <w:bCs/>
                <w:sz w:val="20"/>
                <w:szCs w:val="20"/>
              </w:rPr>
            </w:pPr>
            <w:r>
              <w:lastRenderedPageBreak/>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3B5A93D4" w14:textId="77777777" w:rsidR="00DD6235" w:rsidRDefault="006C5B6D" w:rsidP="00DE15B2">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lastRenderedPageBreak/>
              <w:t xml:space="preserve">This link looks at professionalism and communication in the workplace  </w:t>
            </w:r>
            <w:hyperlink r:id="rId13" w:history="1">
              <w:r w:rsidRPr="006203FC">
                <w:rPr>
                  <w:rStyle w:val="Hyperlink"/>
                  <w:rFonts w:ascii="Cambria" w:hAnsi="Cambria" w:cstheme="minorHAnsi"/>
                  <w:b/>
                  <w:bCs/>
                  <w:sz w:val="20"/>
                  <w:szCs w:val="20"/>
                </w:rPr>
                <w:t>https://www.et-foundation.co.uk/etf-supports-fe/the-role-of-professionalism-across-the-fe-and-skills-sector/</w:t>
              </w:r>
            </w:hyperlink>
            <w:r>
              <w:rPr>
                <w:rFonts w:ascii="Cambria" w:hAnsi="Cambria" w:cstheme="minorHAnsi"/>
                <w:b/>
                <w:bCs/>
                <w:sz w:val="20"/>
                <w:szCs w:val="20"/>
              </w:rPr>
              <w:t xml:space="preserve"> </w:t>
            </w:r>
          </w:p>
          <w:p w14:paraId="02295E43" w14:textId="2A82A880" w:rsidR="006C5B6D" w:rsidRPr="00523D39" w:rsidRDefault="00E43F40" w:rsidP="00DE15B2">
            <w:pPr>
              <w:pStyle w:val="xmsolistparagraph"/>
              <w:shd w:val="clear" w:color="auto" w:fill="FFFFFF"/>
              <w:spacing w:after="0"/>
              <w:rPr>
                <w:rFonts w:ascii="Cambria" w:hAnsi="Cambria" w:cstheme="minorHAnsi"/>
                <w:b/>
                <w:bCs/>
                <w:sz w:val="20"/>
                <w:szCs w:val="20"/>
              </w:rPr>
            </w:pPr>
            <w:r>
              <w:rPr>
                <w:rFonts w:ascii="Calibri" w:eastAsia="Calibri" w:hAnsi="Calibri" w:cs="Calibri"/>
                <w:color w:val="000000"/>
                <w:sz w:val="22"/>
                <w:szCs w:val="22"/>
              </w:rPr>
              <w:t xml:space="preserve">This link looks at professionals in the FE sector </w:t>
            </w:r>
            <w:hyperlink r:id="rId14" w:history="1">
              <w:r w:rsidRPr="00E43F40">
                <w:rPr>
                  <w:rFonts w:ascii="Calibri" w:eastAsia="Calibri" w:hAnsi="Calibri" w:cs="Calibri"/>
                  <w:color w:val="0000FF"/>
                  <w:sz w:val="22"/>
                  <w:szCs w:val="22"/>
                  <w:u w:val="single"/>
                </w:rPr>
                <w:t>Considering the mystery of professionalism: Further education in the UK</w:t>
              </w:r>
            </w:hyperlink>
          </w:p>
        </w:tc>
      </w:tr>
      <w:tr w:rsidR="00F005D6"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F005D6" w:rsidRPr="00523D39" w:rsidRDefault="00F005D6" w:rsidP="00F005D6">
            <w:pPr>
              <w:spacing w:line="237" w:lineRule="auto"/>
              <w:jc w:val="center"/>
              <w:rPr>
                <w:rFonts w:ascii="Cambria" w:hAnsi="Cambria"/>
                <w:b/>
                <w:bCs/>
                <w:sz w:val="20"/>
                <w:szCs w:val="20"/>
              </w:rPr>
            </w:pPr>
          </w:p>
          <w:p w14:paraId="323B0429" w14:textId="77777777" w:rsidR="00F005D6" w:rsidRPr="00523D39" w:rsidRDefault="00F005D6" w:rsidP="00F005D6">
            <w:pPr>
              <w:spacing w:line="237" w:lineRule="auto"/>
              <w:jc w:val="center"/>
              <w:rPr>
                <w:rFonts w:ascii="Cambria" w:hAnsi="Cambria"/>
                <w:b/>
                <w:bCs/>
                <w:sz w:val="20"/>
                <w:szCs w:val="20"/>
              </w:rPr>
            </w:pPr>
          </w:p>
          <w:p w14:paraId="794A60FE" w14:textId="12B12DE9" w:rsidR="00F005D6" w:rsidRPr="00523D39" w:rsidRDefault="00F005D6" w:rsidP="00F005D6">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F005D6" w:rsidRPr="00523D39" w:rsidRDefault="00F005D6" w:rsidP="00F005D6">
            <w:pPr>
              <w:rPr>
                <w:rFonts w:ascii="Cambria" w:hAnsi="Cambria"/>
                <w:sz w:val="20"/>
                <w:szCs w:val="20"/>
              </w:rPr>
            </w:pPr>
            <w:r w:rsidRPr="00523D39">
              <w:rPr>
                <w:rFonts w:ascii="Cambria" w:eastAsia="Georgia" w:hAnsi="Cambria" w:cs="Georgia"/>
                <w:sz w:val="20"/>
                <w:szCs w:val="20"/>
              </w:rPr>
              <w:t xml:space="preserve"> </w:t>
            </w:r>
          </w:p>
          <w:p w14:paraId="56739CEE" w14:textId="2D653E4C" w:rsidR="00F005D6" w:rsidRPr="00523D39" w:rsidRDefault="00F005D6" w:rsidP="00F005D6">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0E7E73C3" w14:textId="3E44AEE5" w:rsidR="00F005D6" w:rsidRPr="00523D39" w:rsidRDefault="00F005D6" w:rsidP="00F005D6">
            <w:pPr>
              <w:jc w:val="center"/>
              <w:rPr>
                <w:rFonts w:ascii="Cambria" w:hAnsi="Cambria"/>
                <w:b/>
                <w:bCs/>
                <w:sz w:val="20"/>
                <w:szCs w:val="20"/>
              </w:rPr>
            </w:pPr>
          </w:p>
        </w:tc>
      </w:tr>
      <w:tr w:rsidR="00F005D6"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5DEA03A0" w14:textId="77777777" w:rsidR="00C21EF0" w:rsidRDefault="00C21EF0" w:rsidP="00C21EF0">
            <w:pPr>
              <w:rPr>
                <w:rFonts w:ascii="Cambria" w:hAnsi="Cambria"/>
                <w:b/>
                <w:bCs/>
                <w:sz w:val="20"/>
                <w:szCs w:val="20"/>
                <w:shd w:val="clear" w:color="auto" w:fill="FFFFFF"/>
              </w:rPr>
            </w:pPr>
            <w:r w:rsidRPr="00C21EF0">
              <w:rPr>
                <w:rFonts w:ascii="Cambria" w:hAnsi="Cambria"/>
                <w:b/>
                <w:bCs/>
                <w:sz w:val="20"/>
                <w:szCs w:val="20"/>
                <w:shd w:val="clear" w:color="auto" w:fill="FFFFFF"/>
              </w:rPr>
              <w:t xml:space="preserve">1.How to engage with parents/carers and colleagues in helping to support and manage student outcomes. </w:t>
            </w:r>
          </w:p>
          <w:p w14:paraId="2F58DA90" w14:textId="77777777" w:rsidR="00C21EF0" w:rsidRDefault="00C21EF0" w:rsidP="00C21EF0">
            <w:pPr>
              <w:rPr>
                <w:rFonts w:ascii="Cambria" w:hAnsi="Cambria"/>
                <w:b/>
                <w:bCs/>
                <w:sz w:val="20"/>
                <w:szCs w:val="20"/>
                <w:shd w:val="clear" w:color="auto" w:fill="FFFFFF"/>
              </w:rPr>
            </w:pPr>
            <w:r w:rsidRPr="00C21EF0">
              <w:rPr>
                <w:rFonts w:ascii="Cambria" w:hAnsi="Cambria"/>
                <w:b/>
                <w:bCs/>
                <w:sz w:val="20"/>
                <w:szCs w:val="20"/>
                <w:shd w:val="clear" w:color="auto" w:fill="FFFFFF"/>
              </w:rPr>
              <w:t xml:space="preserve">2. How to build effective working relationships by working with colleagues as part of a team, for example a subject or departmental team. </w:t>
            </w:r>
          </w:p>
          <w:p w14:paraId="4E488AE5" w14:textId="7599FBAC" w:rsidR="00C57274" w:rsidRPr="00C21EF0" w:rsidRDefault="00C21EF0" w:rsidP="00C21EF0">
            <w:pPr>
              <w:rPr>
                <w:rFonts w:ascii="Cambria" w:hAnsi="Cambria"/>
                <w:b/>
                <w:bCs/>
                <w:sz w:val="20"/>
                <w:szCs w:val="20"/>
                <w:shd w:val="clear" w:color="auto" w:fill="FFFFFF"/>
              </w:rPr>
            </w:pPr>
            <w:r w:rsidRPr="00C21EF0">
              <w:rPr>
                <w:rFonts w:ascii="Cambria" w:hAnsi="Cambria"/>
                <w:b/>
                <w:bCs/>
                <w:sz w:val="20"/>
                <w:szCs w:val="20"/>
                <w:shd w:val="clear" w:color="auto" w:fill="FFFFFF"/>
              </w:rPr>
              <w:t>3. How to use specific EDI-related events and celebrations and naturally occurring moments within your teaching daily.</w:t>
            </w: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F005D6" w:rsidRPr="00523D39" w:rsidRDefault="00F005D6" w:rsidP="00F005D6">
            <w:pPr>
              <w:jc w:val="center"/>
              <w:rPr>
                <w:rFonts w:ascii="Cambria" w:hAnsi="Cambria"/>
                <w:sz w:val="20"/>
                <w:szCs w:val="20"/>
              </w:rPr>
            </w:pPr>
          </w:p>
        </w:tc>
      </w:tr>
      <w:tr w:rsidR="00F005D6"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F005D6" w:rsidRPr="00523D39" w:rsidRDefault="00F005D6" w:rsidP="00F005D6">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F005D6" w:rsidRPr="00523D39" w:rsidRDefault="00F005D6" w:rsidP="00F005D6">
            <w:pPr>
              <w:jc w:val="center"/>
              <w:rPr>
                <w:rFonts w:ascii="Cambria" w:hAnsi="Cambria"/>
                <w:b/>
                <w:bCs/>
                <w:sz w:val="20"/>
                <w:szCs w:val="20"/>
              </w:rPr>
            </w:pPr>
            <w:r w:rsidRPr="00523D39">
              <w:rPr>
                <w:rFonts w:ascii="Cambria" w:hAnsi="Cambria"/>
                <w:b/>
                <w:bCs/>
                <w:sz w:val="20"/>
                <w:szCs w:val="20"/>
              </w:rPr>
              <w:t>Y/N</w:t>
            </w:r>
          </w:p>
          <w:p w14:paraId="18B6C2E1" w14:textId="115AA463" w:rsidR="00F005D6" w:rsidRPr="00523D39" w:rsidRDefault="00F005D6" w:rsidP="00F005D6">
            <w:pPr>
              <w:jc w:val="center"/>
              <w:rPr>
                <w:rFonts w:ascii="Cambria" w:hAnsi="Cambria"/>
                <w:b/>
                <w:bCs/>
                <w:sz w:val="20"/>
                <w:szCs w:val="20"/>
              </w:rPr>
            </w:pPr>
          </w:p>
        </w:tc>
      </w:tr>
      <w:tr w:rsidR="00F005D6"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F005D6" w:rsidRPr="00523D39" w:rsidRDefault="00F005D6" w:rsidP="00F005D6">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725F1C56" w14:textId="77777777" w:rsidR="00C21EF0" w:rsidRDefault="00C21EF0" w:rsidP="001D76BE">
            <w:pPr>
              <w:rPr>
                <w:rFonts w:ascii="Cambria" w:hAnsi="Cambria"/>
                <w:b/>
                <w:bCs/>
                <w:sz w:val="20"/>
                <w:szCs w:val="20"/>
              </w:rPr>
            </w:pPr>
            <w:r w:rsidRPr="00C21EF0">
              <w:rPr>
                <w:rFonts w:ascii="Cambria" w:hAnsi="Cambria"/>
                <w:b/>
                <w:bCs/>
                <w:sz w:val="20"/>
                <w:szCs w:val="20"/>
              </w:rPr>
              <w:t xml:space="preserve">1.Liaise with parents, carers and colleagues to better understand the students’ individual circumstances and how they can be supported to meet high academic and behavioural expectations. </w:t>
            </w:r>
          </w:p>
          <w:p w14:paraId="333A1E0B" w14:textId="77777777" w:rsidR="00C21EF0" w:rsidRDefault="00C21EF0" w:rsidP="001D76BE">
            <w:pPr>
              <w:rPr>
                <w:rFonts w:ascii="Cambria" w:hAnsi="Cambria"/>
                <w:b/>
                <w:bCs/>
                <w:sz w:val="20"/>
                <w:szCs w:val="20"/>
              </w:rPr>
            </w:pPr>
            <w:r w:rsidRPr="00C21EF0">
              <w:rPr>
                <w:rFonts w:ascii="Cambria" w:hAnsi="Cambria"/>
                <w:b/>
                <w:bCs/>
                <w:sz w:val="20"/>
                <w:szCs w:val="20"/>
              </w:rPr>
              <w:t xml:space="preserve">2. Contribute to the settings Open Evenings, Parent/ Carer Evenings (or other such events). </w:t>
            </w:r>
          </w:p>
          <w:p w14:paraId="3437E904" w14:textId="45CF0D32" w:rsidR="00F005D6" w:rsidRPr="00523D39" w:rsidRDefault="00C21EF0" w:rsidP="001D76BE">
            <w:pPr>
              <w:rPr>
                <w:rFonts w:ascii="Cambria" w:hAnsi="Cambria"/>
                <w:b/>
                <w:bCs/>
                <w:sz w:val="20"/>
                <w:szCs w:val="20"/>
              </w:rPr>
            </w:pPr>
            <w:r w:rsidRPr="00C21EF0">
              <w:rPr>
                <w:rFonts w:ascii="Cambria" w:hAnsi="Cambria"/>
                <w:b/>
                <w:bCs/>
                <w:sz w:val="20"/>
                <w:szCs w:val="20"/>
              </w:rPr>
              <w:t>3. Be able to communicate with parents and colleagues via phone, email, or the settings communication portal as part of teacher professionalism.</w:t>
            </w: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F005D6" w:rsidRPr="00523D39" w:rsidRDefault="00F005D6" w:rsidP="00F005D6">
            <w:pPr>
              <w:rPr>
                <w:rFonts w:ascii="Cambria" w:hAnsi="Cambria"/>
                <w:b/>
                <w:bCs/>
                <w:sz w:val="20"/>
                <w:szCs w:val="20"/>
              </w:rPr>
            </w:pPr>
          </w:p>
        </w:tc>
      </w:tr>
      <w:tr w:rsidR="00F005D6"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75FF5299" w14:textId="4CEDD432" w:rsidR="00C21EF0" w:rsidRDefault="00C21EF0" w:rsidP="00F005D6">
            <w:pPr>
              <w:pBdr>
                <w:top w:val="nil"/>
                <w:left w:val="nil"/>
                <w:bottom w:val="nil"/>
                <w:right w:val="nil"/>
                <w:between w:val="nil"/>
              </w:pBdr>
              <w:jc w:val="both"/>
              <w:rPr>
                <w:rFonts w:ascii="Cambria" w:hAnsi="Cambria"/>
                <w:b/>
                <w:bCs/>
                <w:sz w:val="20"/>
                <w:szCs w:val="20"/>
                <w:highlight w:val="yellow"/>
              </w:rPr>
            </w:pPr>
            <w:r w:rsidRPr="00C21EF0">
              <w:rPr>
                <w:rFonts w:ascii="Cambria" w:hAnsi="Cambria"/>
                <w:b/>
                <w:bCs/>
                <w:sz w:val="20"/>
                <w:szCs w:val="20"/>
              </w:rPr>
              <w:t xml:space="preserve">1.How effective is your communication to parents/carers in relation to student’s achievements and well-being? </w:t>
            </w:r>
          </w:p>
          <w:p w14:paraId="3481FEE6" w14:textId="370FD8DC" w:rsidR="00F005D6" w:rsidRDefault="00F005D6" w:rsidP="00F005D6">
            <w:pPr>
              <w:pBdr>
                <w:top w:val="nil"/>
                <w:left w:val="nil"/>
                <w:bottom w:val="nil"/>
                <w:right w:val="nil"/>
                <w:between w:val="nil"/>
              </w:pBdr>
              <w:jc w:val="both"/>
              <w:rPr>
                <w:rFonts w:ascii="Cambria" w:hAnsi="Cambria"/>
                <w:b/>
                <w:bCs/>
                <w:sz w:val="20"/>
                <w:szCs w:val="20"/>
              </w:rPr>
            </w:pPr>
            <w:r w:rsidRPr="006C2B39">
              <w:rPr>
                <w:rFonts w:ascii="Cambria" w:hAnsi="Cambria"/>
                <w:b/>
                <w:bCs/>
                <w:sz w:val="20"/>
                <w:szCs w:val="20"/>
                <w:highlight w:val="yellow"/>
              </w:rPr>
              <w:t>Mentor summary of trainee response:</w:t>
            </w:r>
          </w:p>
          <w:p w14:paraId="77FB5513" w14:textId="77777777" w:rsidR="00C21EF0" w:rsidRDefault="00C21EF0" w:rsidP="00F005D6">
            <w:pPr>
              <w:pBdr>
                <w:top w:val="nil"/>
                <w:left w:val="nil"/>
                <w:bottom w:val="nil"/>
                <w:right w:val="nil"/>
                <w:between w:val="nil"/>
              </w:pBdr>
              <w:jc w:val="both"/>
              <w:rPr>
                <w:rFonts w:ascii="Cambria" w:hAnsi="Cambria"/>
                <w:b/>
                <w:bCs/>
                <w:sz w:val="20"/>
                <w:szCs w:val="20"/>
              </w:rPr>
            </w:pPr>
          </w:p>
          <w:p w14:paraId="1929622F" w14:textId="6D163E87" w:rsidR="005F0F1B" w:rsidRDefault="00C21EF0" w:rsidP="005F0F1B">
            <w:pPr>
              <w:rPr>
                <w:rFonts w:ascii="Cambria" w:hAnsi="Cambria"/>
                <w:b/>
                <w:bCs/>
                <w:sz w:val="20"/>
                <w:szCs w:val="20"/>
              </w:rPr>
            </w:pPr>
            <w:r w:rsidRPr="00C21EF0">
              <w:rPr>
                <w:rFonts w:ascii="Cambria" w:hAnsi="Cambria"/>
                <w:b/>
                <w:bCs/>
                <w:sz w:val="20"/>
                <w:szCs w:val="20"/>
              </w:rPr>
              <w:t>2. Are you able to access communication with other colleagues in real time in your setting? If so, how do you do this?</w:t>
            </w:r>
          </w:p>
          <w:p w14:paraId="2FCBDA67" w14:textId="4723E489" w:rsidR="00F005D6" w:rsidRDefault="00F005D6" w:rsidP="00F005D6">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24D7BAFD" w14:textId="77777777" w:rsidR="00C21EF0" w:rsidRDefault="00C21EF0" w:rsidP="00F005D6">
            <w:pPr>
              <w:pBdr>
                <w:top w:val="nil"/>
                <w:left w:val="nil"/>
                <w:bottom w:val="nil"/>
                <w:right w:val="nil"/>
                <w:between w:val="nil"/>
              </w:pBdr>
              <w:jc w:val="both"/>
              <w:rPr>
                <w:rFonts w:ascii="Cambria" w:hAnsi="Cambria"/>
                <w:b/>
                <w:bCs/>
                <w:sz w:val="20"/>
                <w:szCs w:val="20"/>
              </w:rPr>
            </w:pPr>
          </w:p>
          <w:p w14:paraId="50BC4086" w14:textId="16DA04AF" w:rsidR="005F0F1B" w:rsidRDefault="00C21EF0" w:rsidP="00F005D6">
            <w:pPr>
              <w:pBdr>
                <w:top w:val="nil"/>
                <w:left w:val="nil"/>
                <w:bottom w:val="nil"/>
                <w:right w:val="nil"/>
                <w:between w:val="nil"/>
              </w:pBdr>
              <w:jc w:val="both"/>
              <w:rPr>
                <w:rFonts w:ascii="Cambria" w:hAnsi="Cambria"/>
                <w:b/>
                <w:bCs/>
                <w:sz w:val="20"/>
                <w:szCs w:val="20"/>
              </w:rPr>
            </w:pPr>
            <w:r w:rsidRPr="00C21EF0">
              <w:rPr>
                <w:rFonts w:ascii="Cambria" w:hAnsi="Cambria"/>
                <w:b/>
                <w:bCs/>
                <w:sz w:val="20"/>
                <w:szCs w:val="20"/>
              </w:rPr>
              <w:t>3.How has your understanding of professionalism developed since the start of your ITT programme? What insights have you made?</w:t>
            </w:r>
          </w:p>
          <w:p w14:paraId="5E533A52" w14:textId="61BC2E4E" w:rsidR="00F005D6" w:rsidRDefault="00D15D81" w:rsidP="001114DC">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39DA35D7" w14:textId="77777777" w:rsidR="00F005D6" w:rsidRDefault="00F005D6" w:rsidP="00F005D6">
            <w:pPr>
              <w:pBdr>
                <w:top w:val="nil"/>
                <w:left w:val="nil"/>
                <w:bottom w:val="nil"/>
                <w:right w:val="nil"/>
                <w:between w:val="nil"/>
              </w:pBdr>
              <w:jc w:val="both"/>
              <w:rPr>
                <w:rFonts w:ascii="Cambria" w:hAnsi="Cambria"/>
                <w:b/>
                <w:bCs/>
                <w:sz w:val="20"/>
                <w:szCs w:val="20"/>
              </w:rPr>
            </w:pPr>
          </w:p>
          <w:p w14:paraId="675E641A" w14:textId="0E5ADA6D" w:rsidR="00F005D6" w:rsidRPr="00523D39" w:rsidRDefault="00F005D6" w:rsidP="00F005D6">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Y/N </w:t>
            </w:r>
            <w:r w:rsidRPr="004B5455">
              <w:rPr>
                <w:rFonts w:ascii="Cambria" w:hAnsi="Cambria"/>
                <w:i/>
                <w:iCs/>
                <w:sz w:val="14"/>
                <w:szCs w:val="14"/>
              </w:rPr>
              <w:t>(if N, please provide details)</w:t>
            </w:r>
          </w:p>
          <w:p w14:paraId="11852BB5" w14:textId="27192A8F" w:rsidR="00F005D6" w:rsidRPr="00523D39" w:rsidRDefault="00F005D6" w:rsidP="00F005D6">
            <w:pPr>
              <w:pBdr>
                <w:top w:val="nil"/>
                <w:left w:val="nil"/>
                <w:bottom w:val="nil"/>
                <w:right w:val="nil"/>
                <w:between w:val="nil"/>
              </w:pBdr>
              <w:jc w:val="both"/>
              <w:rPr>
                <w:rFonts w:ascii="Cambria" w:hAnsi="Cambria"/>
                <w:sz w:val="20"/>
                <w:szCs w:val="20"/>
              </w:rPr>
            </w:pPr>
          </w:p>
        </w:tc>
      </w:tr>
      <w:tr w:rsidR="00F005D6"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F005D6" w:rsidRPr="00523D39"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fldChar w:fldCharType="end"/>
            </w:r>
            <w:r>
              <w:fldChar w:fldCharType="end"/>
            </w:r>
          </w:p>
          <w:p w14:paraId="5B450E15" w14:textId="55099F9D"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F005D6" w:rsidRPr="00F54737" w:rsidRDefault="00F005D6" w:rsidP="00F005D6">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 review of subject knowledge, relevant CPD, arrangements for upcoming lesson observation, school/department events etc.</w:t>
            </w:r>
          </w:p>
          <w:p w14:paraId="399FF43D" w14:textId="77777777" w:rsidR="00F005D6"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F3CABCF" w14:textId="55574633" w:rsidR="00667D8E" w:rsidRPr="00523D39" w:rsidRDefault="00667D8E" w:rsidP="00F005D6">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w:t>
            </w:r>
          </w:p>
          <w:p w14:paraId="0ED7F194" w14:textId="45A6050C" w:rsidR="00F005D6" w:rsidRPr="00523D39" w:rsidRDefault="00F005D6" w:rsidP="00F005D6">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F005D6" w:rsidRPr="00523D39" w:rsidRDefault="00F005D6" w:rsidP="00F005D6">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F005D6"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F005D6" w:rsidRDefault="00F005D6" w:rsidP="00F005D6">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F005D6" w:rsidRDefault="00F005D6" w:rsidP="00F005D6">
            <w:pPr>
              <w:spacing w:line="237" w:lineRule="auto"/>
              <w:jc w:val="center"/>
              <w:rPr>
                <w:rFonts w:ascii="Cambria" w:eastAsia="Georgia" w:hAnsi="Cambria" w:cs="Georgia"/>
                <w:b/>
                <w:sz w:val="20"/>
                <w:szCs w:val="20"/>
              </w:rPr>
            </w:pPr>
          </w:p>
          <w:p w14:paraId="1E3F347B" w14:textId="607A2AAD" w:rsidR="00F005D6" w:rsidRPr="00523D39" w:rsidRDefault="00F005D6" w:rsidP="00F005D6">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F005D6" w:rsidRPr="00ED360A" w:rsidRDefault="00F005D6" w:rsidP="00F005D6">
            <w:pPr>
              <w:rPr>
                <w:rFonts w:ascii="Cambria" w:hAnsi="Cambria"/>
                <w:b/>
                <w:bCs/>
                <w:sz w:val="20"/>
                <w:szCs w:val="20"/>
              </w:rPr>
            </w:pPr>
            <w:r w:rsidRPr="00581390">
              <w:rPr>
                <w:rFonts w:ascii="Cambria" w:hAnsi="Cambria"/>
                <w:b/>
                <w:bCs/>
                <w:sz w:val="20"/>
                <w:szCs w:val="20"/>
              </w:rPr>
              <w:lastRenderedPageBreak/>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F005D6" w:rsidRPr="00D9275F" w:rsidRDefault="00F005D6" w:rsidP="00F005D6">
            <w:pPr>
              <w:jc w:val="center"/>
              <w:rPr>
                <w:rFonts w:ascii="Cambria" w:hAnsi="Cambria"/>
                <w:b/>
                <w:bCs/>
                <w:sz w:val="20"/>
                <w:szCs w:val="20"/>
              </w:rPr>
            </w:pPr>
            <w:r w:rsidRPr="00523D39">
              <w:rPr>
                <w:rFonts w:ascii="Cambria" w:hAnsi="Cambria"/>
                <w:b/>
                <w:bCs/>
                <w:sz w:val="20"/>
                <w:szCs w:val="20"/>
              </w:rPr>
              <w:t>Y/N</w:t>
            </w:r>
          </w:p>
        </w:tc>
      </w:tr>
      <w:tr w:rsidR="00F005D6"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F005D6" w:rsidRPr="00523D39" w:rsidRDefault="00F005D6" w:rsidP="00F005D6">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F005D6" w:rsidRPr="00523D39" w:rsidRDefault="00F005D6" w:rsidP="00F005D6">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F005D6" w:rsidRPr="003E2B6C" w:rsidRDefault="00F005D6" w:rsidP="00F005D6">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F005D6" w:rsidRPr="00D9275F" w:rsidRDefault="00F005D6" w:rsidP="00F005D6">
            <w:pPr>
              <w:jc w:val="center"/>
              <w:rPr>
                <w:rFonts w:ascii="Cambria" w:hAnsi="Cambria"/>
                <w:b/>
                <w:bCs/>
                <w:sz w:val="20"/>
                <w:szCs w:val="20"/>
              </w:rPr>
            </w:pPr>
            <w:r w:rsidRPr="00523D39">
              <w:rPr>
                <w:rFonts w:ascii="Cambria" w:hAnsi="Cambria"/>
                <w:b/>
                <w:bCs/>
                <w:sz w:val="20"/>
                <w:szCs w:val="20"/>
              </w:rPr>
              <w:t>Y/</w:t>
            </w:r>
            <w:r>
              <w:rPr>
                <w:rFonts w:ascii="Cambria" w:hAnsi="Cambria"/>
                <w:b/>
                <w:bCs/>
                <w:sz w:val="20"/>
                <w:szCs w:val="20"/>
              </w:rPr>
              <w:t>N</w:t>
            </w:r>
          </w:p>
        </w:tc>
      </w:tr>
      <w:tr w:rsidR="00F005D6"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F005D6" w:rsidRPr="00523D39" w:rsidRDefault="00F005D6" w:rsidP="00F005D6">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F005D6" w:rsidRPr="00F54737" w:rsidRDefault="00F005D6" w:rsidP="00F005D6">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005D6"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F005D6" w:rsidRDefault="00F005D6" w:rsidP="00F005D6">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p>
          <w:p w14:paraId="2E7BDA80" w14:textId="77777777" w:rsidR="00F005D6" w:rsidRDefault="00F005D6" w:rsidP="00F005D6">
            <w:pPr>
              <w:spacing w:line="237" w:lineRule="auto"/>
              <w:jc w:val="center"/>
              <w:rPr>
                <w:rFonts w:ascii="Cambria" w:eastAsia="Georgia" w:hAnsi="Cambria" w:cs="Georgia"/>
                <w:b/>
                <w:sz w:val="20"/>
                <w:szCs w:val="20"/>
              </w:rPr>
            </w:pPr>
          </w:p>
          <w:p w14:paraId="78D25B1F" w14:textId="2EBA0F75" w:rsidR="00F005D6" w:rsidRPr="00523D39" w:rsidRDefault="00F005D6" w:rsidP="00F005D6">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005D6" w:rsidRPr="003E2B6C" w:rsidRDefault="00F005D6" w:rsidP="00F005D6">
            <w:pPr>
              <w:rPr>
                <w:rFonts w:ascii="Cambria" w:hAnsi="Cambria"/>
                <w:b/>
                <w:bCs/>
                <w:sz w:val="20"/>
                <w:szCs w:val="20"/>
              </w:rPr>
            </w:pPr>
            <w:r w:rsidRPr="003E2B6C">
              <w:rPr>
                <w:rFonts w:ascii="Cambria" w:hAnsi="Cambria"/>
                <w:b/>
                <w:bCs/>
                <w:sz w:val="20"/>
                <w:szCs w:val="20"/>
              </w:rPr>
              <w:t>Based on the curriculum for this week, which skill(s) need(s)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005D6" w:rsidRPr="003E2B6C" w:rsidRDefault="00F005D6" w:rsidP="00F005D6">
            <w:pPr>
              <w:rPr>
                <w:rFonts w:ascii="Cambria" w:hAnsi="Cambria"/>
                <w:b/>
                <w:bCs/>
                <w:color w:val="201F1E"/>
                <w:sz w:val="20"/>
                <w:szCs w:val="20"/>
              </w:rPr>
            </w:pPr>
            <w:r w:rsidRPr="003E2B6C">
              <w:rPr>
                <w:rFonts w:ascii="Cambria" w:hAnsi="Cambria"/>
                <w:b/>
                <w:bCs/>
                <w:color w:val="201F1E"/>
                <w:sz w:val="20"/>
                <w:szCs w:val="20"/>
              </w:rPr>
              <w:t>How, where, and/or when could the trainee observe, practice and/or receive feedback on these skills?</w:t>
            </w:r>
          </w:p>
        </w:tc>
      </w:tr>
      <w:tr w:rsidR="00F005D6"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1F609248"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197B044C"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D22B4A7" w:rsidR="00F005D6" w:rsidRPr="00523D39" w:rsidRDefault="00F005D6" w:rsidP="00CF6C43">
            <w:pPr>
              <w:pStyle w:val="xmsolistparagraph"/>
              <w:numPr>
                <w:ilvl w:val="0"/>
                <w:numId w:val="8"/>
              </w:numPr>
              <w:shd w:val="clear" w:color="auto" w:fill="FFFFFF"/>
              <w:spacing w:before="0" w:beforeAutospacing="0" w:after="0" w:afterAutospacing="0"/>
              <w:rPr>
                <w:rFonts w:ascii="Cambria" w:hAnsi="Cambria" w:cs="Calibri"/>
                <w:b/>
                <w:bCs/>
                <w:color w:val="201F1E"/>
                <w:sz w:val="20"/>
                <w:szCs w:val="20"/>
              </w:rPr>
            </w:pP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56D8903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005D6" w:rsidRPr="00523D39" w:rsidRDefault="00F005D6" w:rsidP="00F005D6">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58ED6804" w:rsidR="00F005D6" w:rsidRPr="00523D39" w:rsidRDefault="00C21EF0" w:rsidP="00F005D6">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005D6" w:rsidRPr="00523D39" w:rsidRDefault="00F005D6" w:rsidP="00F005D6">
            <w:pPr>
              <w:pStyle w:val="xmsolistparagraph"/>
              <w:shd w:val="clear" w:color="auto" w:fill="FFFFFF"/>
              <w:spacing w:before="0" w:beforeAutospacing="0" w:after="0" w:afterAutospacing="0"/>
              <w:rPr>
                <w:rFonts w:ascii="Cambria" w:hAnsi="Cambria" w:cs="Calibri"/>
                <w:b/>
                <w:bCs/>
                <w:color w:val="201F1E"/>
                <w:sz w:val="20"/>
                <w:szCs w:val="20"/>
              </w:rPr>
            </w:pPr>
          </w:p>
        </w:tc>
      </w:tr>
      <w:tr w:rsidR="00F005D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F005D6" w:rsidRPr="00F83C7A" w:rsidRDefault="00F005D6" w:rsidP="00F005D6">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428014C" w:rsidR="00F005D6" w:rsidRPr="00F83C7A" w:rsidRDefault="00000000" w:rsidP="00F005D6">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w:t>
            </w:r>
            <w:r w:rsidR="00F005D6">
              <w:rPr>
                <w:rFonts w:ascii="Cambria" w:hAnsi="Cambria" w:cs="Arial"/>
                <w:b/>
                <w:bCs/>
                <w:sz w:val="20"/>
                <w:szCs w:val="20"/>
              </w:rPr>
              <w:t xml:space="preserve"> and has demonstrated appropriate professional behaviours</w:t>
            </w:r>
            <w:r w:rsidR="00F005D6" w:rsidRPr="00F83C7A">
              <w:rPr>
                <w:rFonts w:ascii="Cambria" w:hAnsi="Cambria" w:cs="Arial"/>
                <w:b/>
                <w:bCs/>
                <w:sz w:val="20"/>
                <w:szCs w:val="20"/>
              </w:rPr>
              <w:t>.</w:t>
            </w:r>
          </w:p>
          <w:p w14:paraId="015224A5" w14:textId="673E4106" w:rsidR="00F005D6" w:rsidRPr="00F83C7A" w:rsidRDefault="00000000" w:rsidP="00F005D6">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Yes, trainee is making sufficient progress through the curriculum, but th</w:t>
            </w:r>
            <w:r w:rsidR="00F005D6">
              <w:rPr>
                <w:rFonts w:ascii="Cambria" w:hAnsi="Cambria" w:cs="Arial"/>
                <w:b/>
                <w:bCs/>
                <w:sz w:val="20"/>
                <w:szCs w:val="20"/>
              </w:rPr>
              <w:t>ey</w:t>
            </w:r>
            <w:r w:rsidR="00F005D6" w:rsidRPr="00F83C7A">
              <w:rPr>
                <w:rFonts w:ascii="Cambria" w:hAnsi="Cambria" w:cs="Arial"/>
                <w:b/>
                <w:bCs/>
                <w:sz w:val="20"/>
                <w:szCs w:val="20"/>
              </w:rPr>
              <w:t xml:space="preserve"> ha</w:t>
            </w:r>
            <w:r w:rsidR="00F005D6">
              <w:rPr>
                <w:rFonts w:ascii="Cambria" w:hAnsi="Cambria" w:cs="Arial"/>
                <w:b/>
                <w:bCs/>
                <w:sz w:val="20"/>
                <w:szCs w:val="20"/>
              </w:rPr>
              <w:t>ve</w:t>
            </w:r>
            <w:r w:rsidR="00F005D6" w:rsidRPr="00F83C7A">
              <w:rPr>
                <w:rFonts w:ascii="Cambria" w:hAnsi="Cambria" w:cs="Arial"/>
                <w:b/>
                <w:bCs/>
                <w:sz w:val="20"/>
                <w:szCs w:val="20"/>
              </w:rPr>
              <w:t xml:space="preserve"> required additional support </w:t>
            </w:r>
            <w:r w:rsidR="00F005D6" w:rsidRPr="00F83C7A">
              <w:rPr>
                <w:rFonts w:ascii="Cambria" w:hAnsi="Cambria" w:cs="Arial"/>
                <w:b/>
                <w:bCs/>
                <w:sz w:val="14"/>
                <w:szCs w:val="14"/>
              </w:rPr>
              <w:t>(please list the additional support provided below. For example, a reduction in teaching load, additional meetings, use of team-teaching etc</w:t>
            </w:r>
            <w:r w:rsidR="00F005D6" w:rsidRPr="00F83C7A">
              <w:rPr>
                <w:rFonts w:ascii="Cambria" w:hAnsi="Cambria" w:cs="Arial"/>
                <w:b/>
                <w:bCs/>
                <w:sz w:val="20"/>
                <w:szCs w:val="20"/>
              </w:rPr>
              <w:t>)</w:t>
            </w:r>
            <w:r w:rsidR="00F005D6">
              <w:rPr>
                <w:rFonts w:ascii="Cambria" w:hAnsi="Cambria" w:cs="Arial"/>
                <w:b/>
                <w:bCs/>
                <w:sz w:val="20"/>
                <w:szCs w:val="20"/>
              </w:rPr>
              <w:t>.</w:t>
            </w:r>
          </w:p>
          <w:p w14:paraId="33ECB3E4" w14:textId="77777777" w:rsidR="00F005D6" w:rsidRPr="00F83C7A" w:rsidRDefault="00F005D6" w:rsidP="00F005D6">
            <w:pPr>
              <w:rPr>
                <w:rFonts w:ascii="Cambria" w:hAnsi="Cambria" w:cs="Arial"/>
                <w:b/>
                <w:bCs/>
                <w:sz w:val="20"/>
                <w:szCs w:val="20"/>
              </w:rPr>
            </w:pPr>
          </w:p>
          <w:p w14:paraId="2DBD45D4" w14:textId="77777777" w:rsidR="00F005D6" w:rsidRPr="00F83C7A" w:rsidRDefault="00F005D6" w:rsidP="00F005D6">
            <w:pPr>
              <w:rPr>
                <w:rFonts w:ascii="Cambria" w:hAnsi="Cambria" w:cs="Arial"/>
                <w:b/>
                <w:bCs/>
                <w:sz w:val="20"/>
                <w:szCs w:val="20"/>
              </w:rPr>
            </w:pPr>
          </w:p>
          <w:p w14:paraId="24E9E9CD" w14:textId="2824F587" w:rsidR="00F005D6" w:rsidRPr="00F07217" w:rsidRDefault="00000000" w:rsidP="00F005D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F005D6" w:rsidRPr="00F83C7A">
                  <w:rPr>
                    <w:rFonts w:ascii="Segoe UI Symbol" w:eastAsia="MS Gothic" w:hAnsi="Segoe UI Symbol" w:cs="Segoe UI Symbol"/>
                    <w:b/>
                    <w:bCs/>
                    <w:sz w:val="20"/>
                    <w:szCs w:val="20"/>
                  </w:rPr>
                  <w:t>☐</w:t>
                </w:r>
              </w:sdtContent>
            </w:sdt>
            <w:r w:rsidR="00F005D6" w:rsidRPr="00F83C7A">
              <w:rPr>
                <w:rFonts w:ascii="Cambria" w:hAnsi="Cambria" w:cs="Arial"/>
                <w:b/>
                <w:bCs/>
                <w:sz w:val="20"/>
                <w:szCs w:val="20"/>
              </w:rPr>
              <w:t xml:space="preserve">  No, despite additional support the trainee is not making sufficient progress through the curriculum</w:t>
            </w:r>
            <w:r w:rsidR="00F005D6">
              <w:rPr>
                <w:rFonts w:ascii="Cambria" w:hAnsi="Cambria" w:cs="Arial"/>
                <w:b/>
                <w:bCs/>
                <w:sz w:val="20"/>
                <w:szCs w:val="20"/>
              </w:rPr>
              <w:t xml:space="preserve"> and/or has not displayed the appropriate professional behaviours</w:t>
            </w:r>
            <w:r w:rsidR="00F005D6" w:rsidRPr="00F83C7A">
              <w:rPr>
                <w:rFonts w:ascii="Cambria" w:hAnsi="Cambria" w:cs="Arial"/>
                <w:b/>
                <w:bCs/>
                <w:sz w:val="20"/>
                <w:szCs w:val="20"/>
              </w:rPr>
              <w:t>. A Progress Support Plan should be considered.</w:t>
            </w:r>
            <w:r w:rsidR="00F005D6"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6553" w14:textId="77777777" w:rsidR="00EE635E" w:rsidRDefault="00EE635E" w:rsidP="00BB0205">
      <w:pPr>
        <w:spacing w:after="0" w:line="240" w:lineRule="auto"/>
      </w:pPr>
      <w:r>
        <w:separator/>
      </w:r>
    </w:p>
  </w:endnote>
  <w:endnote w:type="continuationSeparator" w:id="0">
    <w:p w14:paraId="629F2E4F" w14:textId="77777777" w:rsidR="00EE635E" w:rsidRDefault="00EE635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0A1B" w14:textId="77777777" w:rsidR="00EE635E" w:rsidRDefault="00EE635E" w:rsidP="00BB0205">
      <w:pPr>
        <w:spacing w:after="0" w:line="240" w:lineRule="auto"/>
      </w:pPr>
      <w:r>
        <w:separator/>
      </w:r>
    </w:p>
  </w:footnote>
  <w:footnote w:type="continuationSeparator" w:id="0">
    <w:p w14:paraId="1C03C659" w14:textId="77777777" w:rsidR="00EE635E" w:rsidRDefault="00EE635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E9D"/>
    <w:multiLevelType w:val="hybridMultilevel"/>
    <w:tmpl w:val="01C0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93349"/>
    <w:multiLevelType w:val="hybridMultilevel"/>
    <w:tmpl w:val="8BA0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F27D6A"/>
    <w:multiLevelType w:val="hybridMultilevel"/>
    <w:tmpl w:val="5156B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7F0523"/>
    <w:multiLevelType w:val="hybridMultilevel"/>
    <w:tmpl w:val="23141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077CED"/>
    <w:multiLevelType w:val="hybridMultilevel"/>
    <w:tmpl w:val="BC5CC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E697C"/>
    <w:multiLevelType w:val="hybridMultilevel"/>
    <w:tmpl w:val="CD3C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7624AF"/>
    <w:multiLevelType w:val="hybridMultilevel"/>
    <w:tmpl w:val="BEC4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36E59"/>
    <w:multiLevelType w:val="hybridMultilevel"/>
    <w:tmpl w:val="661CD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CB2CF4"/>
    <w:multiLevelType w:val="hybridMultilevel"/>
    <w:tmpl w:val="A34AF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0B482F"/>
    <w:multiLevelType w:val="hybridMultilevel"/>
    <w:tmpl w:val="35EE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9"/>
  </w:num>
  <w:num w:numId="2" w16cid:durableId="745959156">
    <w:abstractNumId w:val="5"/>
  </w:num>
  <w:num w:numId="3" w16cid:durableId="365060952">
    <w:abstractNumId w:val="3"/>
  </w:num>
  <w:num w:numId="4" w16cid:durableId="970749666">
    <w:abstractNumId w:val="0"/>
  </w:num>
  <w:num w:numId="5" w16cid:durableId="920409302">
    <w:abstractNumId w:val="8"/>
  </w:num>
  <w:num w:numId="6" w16cid:durableId="911085935">
    <w:abstractNumId w:val="1"/>
  </w:num>
  <w:num w:numId="7" w16cid:durableId="454517988">
    <w:abstractNumId w:val="7"/>
  </w:num>
  <w:num w:numId="8" w16cid:durableId="1424230762">
    <w:abstractNumId w:val="10"/>
  </w:num>
  <w:num w:numId="9" w16cid:durableId="375930403">
    <w:abstractNumId w:val="2"/>
  </w:num>
  <w:num w:numId="10" w16cid:durableId="114759424">
    <w:abstractNumId w:val="4"/>
  </w:num>
  <w:num w:numId="11" w16cid:durableId="2042365401">
    <w:abstractNumId w:val="6"/>
  </w:num>
  <w:num w:numId="12" w16cid:durableId="652181082">
    <w:abstractNumId w:val="13"/>
  </w:num>
  <w:num w:numId="13" w16cid:durableId="893780892">
    <w:abstractNumId w:val="11"/>
  </w:num>
  <w:num w:numId="14" w16cid:durableId="20956590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9417F"/>
    <w:rsid w:val="00096970"/>
    <w:rsid w:val="000A4500"/>
    <w:rsid w:val="000C0420"/>
    <w:rsid w:val="000D2747"/>
    <w:rsid w:val="000D5631"/>
    <w:rsid w:val="000D6922"/>
    <w:rsid w:val="000F7F57"/>
    <w:rsid w:val="001114DC"/>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D76BE"/>
    <w:rsid w:val="001E17E8"/>
    <w:rsid w:val="001E5B59"/>
    <w:rsid w:val="001F2CB3"/>
    <w:rsid w:val="0020392C"/>
    <w:rsid w:val="00203B1D"/>
    <w:rsid w:val="00205900"/>
    <w:rsid w:val="002073B3"/>
    <w:rsid w:val="002077E7"/>
    <w:rsid w:val="0021448E"/>
    <w:rsid w:val="002176C6"/>
    <w:rsid w:val="00222692"/>
    <w:rsid w:val="002402B7"/>
    <w:rsid w:val="00244BD5"/>
    <w:rsid w:val="0024608C"/>
    <w:rsid w:val="00251FE4"/>
    <w:rsid w:val="00255D4F"/>
    <w:rsid w:val="00257C5E"/>
    <w:rsid w:val="00267F20"/>
    <w:rsid w:val="00275428"/>
    <w:rsid w:val="00275519"/>
    <w:rsid w:val="00280943"/>
    <w:rsid w:val="0028436B"/>
    <w:rsid w:val="00284E41"/>
    <w:rsid w:val="002945B0"/>
    <w:rsid w:val="002D6840"/>
    <w:rsid w:val="002D71BC"/>
    <w:rsid w:val="002F0646"/>
    <w:rsid w:val="003116FA"/>
    <w:rsid w:val="003132BC"/>
    <w:rsid w:val="003324D5"/>
    <w:rsid w:val="00333FF9"/>
    <w:rsid w:val="00341505"/>
    <w:rsid w:val="00341E44"/>
    <w:rsid w:val="003433DA"/>
    <w:rsid w:val="003512E2"/>
    <w:rsid w:val="003558A2"/>
    <w:rsid w:val="00360B99"/>
    <w:rsid w:val="00360FDF"/>
    <w:rsid w:val="00362DE4"/>
    <w:rsid w:val="00362E65"/>
    <w:rsid w:val="0036642F"/>
    <w:rsid w:val="003710AC"/>
    <w:rsid w:val="00376E8F"/>
    <w:rsid w:val="00381F63"/>
    <w:rsid w:val="00387F4F"/>
    <w:rsid w:val="00393C9C"/>
    <w:rsid w:val="003960FA"/>
    <w:rsid w:val="003C0614"/>
    <w:rsid w:val="003C1D2B"/>
    <w:rsid w:val="003D5B21"/>
    <w:rsid w:val="003E1F60"/>
    <w:rsid w:val="003E2B6C"/>
    <w:rsid w:val="003E4513"/>
    <w:rsid w:val="003E7131"/>
    <w:rsid w:val="003F297E"/>
    <w:rsid w:val="003F77C7"/>
    <w:rsid w:val="004009A7"/>
    <w:rsid w:val="00402356"/>
    <w:rsid w:val="00403E3F"/>
    <w:rsid w:val="00421BEA"/>
    <w:rsid w:val="00446426"/>
    <w:rsid w:val="0045001E"/>
    <w:rsid w:val="00451F49"/>
    <w:rsid w:val="00464034"/>
    <w:rsid w:val="00470596"/>
    <w:rsid w:val="00474CE8"/>
    <w:rsid w:val="00485777"/>
    <w:rsid w:val="004933A3"/>
    <w:rsid w:val="00493E56"/>
    <w:rsid w:val="004A0E13"/>
    <w:rsid w:val="004B5455"/>
    <w:rsid w:val="004C251D"/>
    <w:rsid w:val="004C3CDB"/>
    <w:rsid w:val="004D131D"/>
    <w:rsid w:val="004D6867"/>
    <w:rsid w:val="004E5BB2"/>
    <w:rsid w:val="004F5A59"/>
    <w:rsid w:val="005031C0"/>
    <w:rsid w:val="005061DF"/>
    <w:rsid w:val="005074F9"/>
    <w:rsid w:val="00510E1B"/>
    <w:rsid w:val="005113AE"/>
    <w:rsid w:val="005120DA"/>
    <w:rsid w:val="00514020"/>
    <w:rsid w:val="00523D39"/>
    <w:rsid w:val="00532449"/>
    <w:rsid w:val="00542102"/>
    <w:rsid w:val="005502E1"/>
    <w:rsid w:val="005511A4"/>
    <w:rsid w:val="005532B5"/>
    <w:rsid w:val="00553CE4"/>
    <w:rsid w:val="00554743"/>
    <w:rsid w:val="00556F37"/>
    <w:rsid w:val="00560B2D"/>
    <w:rsid w:val="00560FE2"/>
    <w:rsid w:val="005621D1"/>
    <w:rsid w:val="00570FB3"/>
    <w:rsid w:val="0057496A"/>
    <w:rsid w:val="005775AE"/>
    <w:rsid w:val="00580D88"/>
    <w:rsid w:val="00581390"/>
    <w:rsid w:val="00586ACC"/>
    <w:rsid w:val="005A6715"/>
    <w:rsid w:val="005B4FD8"/>
    <w:rsid w:val="005B548F"/>
    <w:rsid w:val="005C4629"/>
    <w:rsid w:val="005C4DE7"/>
    <w:rsid w:val="005D3524"/>
    <w:rsid w:val="005D6C0E"/>
    <w:rsid w:val="005E244C"/>
    <w:rsid w:val="005E5836"/>
    <w:rsid w:val="005F0F1B"/>
    <w:rsid w:val="005F3947"/>
    <w:rsid w:val="005F5A1C"/>
    <w:rsid w:val="00606867"/>
    <w:rsid w:val="006102D0"/>
    <w:rsid w:val="006112AB"/>
    <w:rsid w:val="006135EC"/>
    <w:rsid w:val="00624699"/>
    <w:rsid w:val="00631D4B"/>
    <w:rsid w:val="00634465"/>
    <w:rsid w:val="00636728"/>
    <w:rsid w:val="00637553"/>
    <w:rsid w:val="00645D9A"/>
    <w:rsid w:val="006466C4"/>
    <w:rsid w:val="0064731C"/>
    <w:rsid w:val="00650A8F"/>
    <w:rsid w:val="00656134"/>
    <w:rsid w:val="00663D4E"/>
    <w:rsid w:val="00667D8E"/>
    <w:rsid w:val="006758B9"/>
    <w:rsid w:val="00690414"/>
    <w:rsid w:val="00690AD3"/>
    <w:rsid w:val="00690CE7"/>
    <w:rsid w:val="00690DB7"/>
    <w:rsid w:val="006928B6"/>
    <w:rsid w:val="00697DAE"/>
    <w:rsid w:val="006A2DCB"/>
    <w:rsid w:val="006A777B"/>
    <w:rsid w:val="006B15D7"/>
    <w:rsid w:val="006B3909"/>
    <w:rsid w:val="006C0609"/>
    <w:rsid w:val="006C2B39"/>
    <w:rsid w:val="006C5B6D"/>
    <w:rsid w:val="006D52FD"/>
    <w:rsid w:val="006E789E"/>
    <w:rsid w:val="00703A42"/>
    <w:rsid w:val="007052C0"/>
    <w:rsid w:val="0071620C"/>
    <w:rsid w:val="00723015"/>
    <w:rsid w:val="00726BDF"/>
    <w:rsid w:val="00745BFC"/>
    <w:rsid w:val="00746049"/>
    <w:rsid w:val="00754322"/>
    <w:rsid w:val="0075782C"/>
    <w:rsid w:val="00760D48"/>
    <w:rsid w:val="00775637"/>
    <w:rsid w:val="0078737C"/>
    <w:rsid w:val="007904BD"/>
    <w:rsid w:val="007A010F"/>
    <w:rsid w:val="007A0516"/>
    <w:rsid w:val="007A5EF8"/>
    <w:rsid w:val="007B1A2C"/>
    <w:rsid w:val="007B4199"/>
    <w:rsid w:val="007C2932"/>
    <w:rsid w:val="007C66A6"/>
    <w:rsid w:val="007D2AA4"/>
    <w:rsid w:val="007E2240"/>
    <w:rsid w:val="00800444"/>
    <w:rsid w:val="008151B0"/>
    <w:rsid w:val="008235B7"/>
    <w:rsid w:val="0083229F"/>
    <w:rsid w:val="00842B9B"/>
    <w:rsid w:val="0085055D"/>
    <w:rsid w:val="00854B4E"/>
    <w:rsid w:val="00866227"/>
    <w:rsid w:val="008675C2"/>
    <w:rsid w:val="00876843"/>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606AB"/>
    <w:rsid w:val="0096319B"/>
    <w:rsid w:val="00965CE6"/>
    <w:rsid w:val="00966A4C"/>
    <w:rsid w:val="00970EA0"/>
    <w:rsid w:val="00994CEC"/>
    <w:rsid w:val="009B3121"/>
    <w:rsid w:val="009B6144"/>
    <w:rsid w:val="009C79B8"/>
    <w:rsid w:val="009D30D2"/>
    <w:rsid w:val="00A00F62"/>
    <w:rsid w:val="00A127AF"/>
    <w:rsid w:val="00A166D0"/>
    <w:rsid w:val="00A27B4C"/>
    <w:rsid w:val="00A36B06"/>
    <w:rsid w:val="00A461C0"/>
    <w:rsid w:val="00A61137"/>
    <w:rsid w:val="00A7227A"/>
    <w:rsid w:val="00A771B9"/>
    <w:rsid w:val="00A92CA0"/>
    <w:rsid w:val="00A95F32"/>
    <w:rsid w:val="00AA17CF"/>
    <w:rsid w:val="00AA3C08"/>
    <w:rsid w:val="00AB1862"/>
    <w:rsid w:val="00AC15C1"/>
    <w:rsid w:val="00AC52AF"/>
    <w:rsid w:val="00AD07FA"/>
    <w:rsid w:val="00AD1D6C"/>
    <w:rsid w:val="00AD2305"/>
    <w:rsid w:val="00AE0D6F"/>
    <w:rsid w:val="00AE1686"/>
    <w:rsid w:val="00AE47A3"/>
    <w:rsid w:val="00AE5D12"/>
    <w:rsid w:val="00B109B2"/>
    <w:rsid w:val="00B42894"/>
    <w:rsid w:val="00B5000E"/>
    <w:rsid w:val="00B61B97"/>
    <w:rsid w:val="00B71FAE"/>
    <w:rsid w:val="00B753D0"/>
    <w:rsid w:val="00B75F73"/>
    <w:rsid w:val="00B8188E"/>
    <w:rsid w:val="00B908C1"/>
    <w:rsid w:val="00B91A31"/>
    <w:rsid w:val="00B96B00"/>
    <w:rsid w:val="00BA06A2"/>
    <w:rsid w:val="00BA12BC"/>
    <w:rsid w:val="00BA3E39"/>
    <w:rsid w:val="00BB0205"/>
    <w:rsid w:val="00BC2D67"/>
    <w:rsid w:val="00BD1719"/>
    <w:rsid w:val="00BF017F"/>
    <w:rsid w:val="00BF1357"/>
    <w:rsid w:val="00BF51FB"/>
    <w:rsid w:val="00BF69C3"/>
    <w:rsid w:val="00BF6FA3"/>
    <w:rsid w:val="00C0716F"/>
    <w:rsid w:val="00C15D2D"/>
    <w:rsid w:val="00C15D55"/>
    <w:rsid w:val="00C21B58"/>
    <w:rsid w:val="00C21EF0"/>
    <w:rsid w:val="00C50B1D"/>
    <w:rsid w:val="00C57274"/>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CF6C43"/>
    <w:rsid w:val="00D105DF"/>
    <w:rsid w:val="00D12C87"/>
    <w:rsid w:val="00D15D81"/>
    <w:rsid w:val="00D26EEE"/>
    <w:rsid w:val="00D50CEF"/>
    <w:rsid w:val="00D628A9"/>
    <w:rsid w:val="00D67B11"/>
    <w:rsid w:val="00D7386B"/>
    <w:rsid w:val="00D8211D"/>
    <w:rsid w:val="00D852D6"/>
    <w:rsid w:val="00D9275F"/>
    <w:rsid w:val="00D9612E"/>
    <w:rsid w:val="00DA4C7E"/>
    <w:rsid w:val="00DB4B64"/>
    <w:rsid w:val="00DC24A6"/>
    <w:rsid w:val="00DC78C4"/>
    <w:rsid w:val="00DC7C70"/>
    <w:rsid w:val="00DD5A4F"/>
    <w:rsid w:val="00DD6235"/>
    <w:rsid w:val="00DE15B2"/>
    <w:rsid w:val="00DE77C3"/>
    <w:rsid w:val="00DF760B"/>
    <w:rsid w:val="00E1674D"/>
    <w:rsid w:val="00E20F0A"/>
    <w:rsid w:val="00E22452"/>
    <w:rsid w:val="00E27B26"/>
    <w:rsid w:val="00E43F40"/>
    <w:rsid w:val="00E457EF"/>
    <w:rsid w:val="00E45891"/>
    <w:rsid w:val="00E5003C"/>
    <w:rsid w:val="00E53DAA"/>
    <w:rsid w:val="00E65DEB"/>
    <w:rsid w:val="00E70C1C"/>
    <w:rsid w:val="00EA5E95"/>
    <w:rsid w:val="00EA77D3"/>
    <w:rsid w:val="00EB1FA3"/>
    <w:rsid w:val="00ED360A"/>
    <w:rsid w:val="00EE0C18"/>
    <w:rsid w:val="00EE1D6A"/>
    <w:rsid w:val="00EE53F3"/>
    <w:rsid w:val="00EE5A74"/>
    <w:rsid w:val="00EE635E"/>
    <w:rsid w:val="00EE64A0"/>
    <w:rsid w:val="00EF0AF4"/>
    <w:rsid w:val="00EF50F0"/>
    <w:rsid w:val="00F005D6"/>
    <w:rsid w:val="00F07217"/>
    <w:rsid w:val="00F27212"/>
    <w:rsid w:val="00F320B5"/>
    <w:rsid w:val="00F45E23"/>
    <w:rsid w:val="00F47EC2"/>
    <w:rsid w:val="00F54737"/>
    <w:rsid w:val="00F55928"/>
    <w:rsid w:val="00F5767B"/>
    <w:rsid w:val="00F6789C"/>
    <w:rsid w:val="00F67D1E"/>
    <w:rsid w:val="00F77DFE"/>
    <w:rsid w:val="00F81686"/>
    <w:rsid w:val="00F81B73"/>
    <w:rsid w:val="00F82C86"/>
    <w:rsid w:val="00F83B94"/>
    <w:rsid w:val="00F83C7A"/>
    <w:rsid w:val="00F83EAA"/>
    <w:rsid w:val="00FA73AF"/>
    <w:rsid w:val="00FB38FA"/>
    <w:rsid w:val="00FB5206"/>
    <w:rsid w:val="00FB5D21"/>
    <w:rsid w:val="00FC0E49"/>
    <w:rsid w:val="00FC1F23"/>
    <w:rsid w:val="00FC677E"/>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etf-supports-fe/the-role-of-professionalism-across-the-fe-and-skills-sector/"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ookcentral.proquest.com/lib/edgehill/reader.action?docID=7013382&amp;ppg=66"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earchgate.net/publication/380949191_Considering_the_mystery_of_professionalism_Further_education_in_the_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2025-02-12T11:56:00Z</dcterms:created>
  <dcterms:modified xsi:type="dcterms:W3CDTF">2025-02-12T11:56:00Z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