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Pr="00884A84" w:rsidR="0077142C" w:rsidTr="0077142C" w14:paraId="50FE09EC" w14:textId="77777777">
        <w:trPr>
          <w:trHeight w:val="2269"/>
        </w:trPr>
        <w:tc>
          <w:tcPr>
            <w:tcW w:w="12225" w:type="dxa"/>
            <w:shd w:val="clear" w:color="auto" w:fill="5F295F"/>
            <w:tcMar>
              <w:top w:w="0" w:type="dxa"/>
              <w:left w:w="108" w:type="dxa"/>
              <w:bottom w:w="0" w:type="dxa"/>
              <w:right w:w="108" w:type="dxa"/>
            </w:tcMar>
            <w:hideMark/>
          </w:tcPr>
          <w:p w:rsidRPr="0077142C" w:rsidR="0077142C" w:rsidP="0077142C" w:rsidRDefault="0077142C" w14:paraId="179BD9C5" w14:textId="47C56B48">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rsidR="00CF75EE" w:rsidP="00F21A43" w:rsidRDefault="00F21A43" w14:paraId="26FB86D1" w14:textId="5BAFACF2">
      <w:pPr>
        <w:pStyle w:val="NoSpacing"/>
        <w:spacing w:before="240" w:after="240"/>
        <w:ind w:right="-23"/>
      </w:pPr>
      <w:r>
        <w:t>Welcome to the weekly mentor, trainee and link tutor briefing from the Department of Early Years.</w:t>
      </w:r>
    </w:p>
    <w:tbl>
      <w:tblPr>
        <w:tblW w:w="0" w:type="auto"/>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80"/>
        <w:gridCol w:w="3777"/>
        <w:gridCol w:w="1043"/>
        <w:gridCol w:w="4923"/>
      </w:tblGrid>
      <w:tr w:rsidR="00F21A43" w:rsidTr="07223E26" w14:paraId="28B3AEEE" w14:textId="0B895199">
        <w:trPr>
          <w:trHeight w:val="270"/>
        </w:trPr>
        <w:tc>
          <w:tcPr>
            <w:tcW w:w="1180" w:type="dxa"/>
            <w:tcBorders>
              <w:top w:val="single" w:color="auto" w:sz="12" w:space="0"/>
              <w:left w:val="single" w:color="auto" w:sz="12" w:space="0"/>
              <w:bottom w:val="single" w:color="auto" w:sz="12" w:space="0"/>
            </w:tcBorders>
            <w:shd w:val="clear" w:color="auto" w:fill="CCC0D9" w:themeFill="accent4" w:themeFillTint="66"/>
            <w:tcMar/>
          </w:tcPr>
          <w:p w:rsidRPr="00994DA1" w:rsidR="00F21A43" w:rsidP="00F21A43" w:rsidRDefault="00F21A43" w14:paraId="0504EAE3" w14:textId="747C1DA3">
            <w:pPr>
              <w:pStyle w:val="NoSpacing"/>
              <w:spacing w:line="276" w:lineRule="auto"/>
              <w:ind w:right="-23"/>
              <w:rPr>
                <w:b/>
                <w:bCs/>
              </w:rPr>
            </w:pPr>
            <w:r w:rsidRPr="00994DA1">
              <w:rPr>
                <w:b/>
                <w:bCs/>
              </w:rPr>
              <w:t>Course:</w:t>
            </w:r>
          </w:p>
        </w:tc>
        <w:tc>
          <w:tcPr>
            <w:tcW w:w="9743" w:type="dxa"/>
            <w:gridSpan w:val="3"/>
            <w:tcBorders>
              <w:top w:val="single" w:color="auto" w:sz="12" w:space="0"/>
              <w:right w:val="single" w:color="auto" w:sz="12" w:space="0"/>
            </w:tcBorders>
            <w:tcMar/>
          </w:tcPr>
          <w:p w:rsidR="00F21A43" w:rsidP="07223E26" w:rsidRDefault="00F21A43" w14:paraId="2E0C04FE" w14:textId="1DB7B8CD">
            <w:pPr>
              <w:spacing w:line="276" w:lineRule="auto"/>
              <w:ind w:right="-23"/>
              <w:rPr>
                <w:rFonts w:ascii="Arial" w:hAnsi="Arial" w:eastAsia="Arial" w:cs="Arial"/>
                <w:noProof w:val="0"/>
                <w:sz w:val="24"/>
                <w:szCs w:val="24"/>
                <w:lang w:val="en-GB"/>
              </w:rPr>
            </w:pPr>
            <w:r w:rsidRPr="07223E26" w:rsidR="6044B47A">
              <w:rPr>
                <w:rFonts w:ascii="Arial" w:hAnsi="Arial" w:eastAsia="Arial" w:cs="Arial"/>
                <w:b w:val="0"/>
                <w:bCs w:val="0"/>
                <w:i w:val="0"/>
                <w:iCs w:val="0"/>
                <w:caps w:val="0"/>
                <w:smallCaps w:val="0"/>
                <w:noProof w:val="0"/>
                <w:color w:val="242424"/>
                <w:sz w:val="22"/>
                <w:szCs w:val="22"/>
                <w:lang w:val="en-GB"/>
              </w:rPr>
              <w:t>UG Primary 3-7 with QTS</w:t>
            </w:r>
          </w:p>
        </w:tc>
      </w:tr>
      <w:tr w:rsidR="00F21A43" w:rsidTr="07223E26" w14:paraId="3850BFE1" w14:textId="6C83F16D">
        <w:trPr>
          <w:trHeight w:val="270"/>
        </w:trPr>
        <w:tc>
          <w:tcPr>
            <w:tcW w:w="1180" w:type="dxa"/>
            <w:tcBorders>
              <w:top w:val="single" w:color="auto" w:sz="12" w:space="0"/>
              <w:left w:val="single" w:color="auto" w:sz="12" w:space="0"/>
              <w:bottom w:val="single" w:color="auto" w:sz="12" w:space="0"/>
            </w:tcBorders>
            <w:shd w:val="clear" w:color="auto" w:fill="CCC0D9" w:themeFill="accent4" w:themeFillTint="66"/>
            <w:tcMar/>
          </w:tcPr>
          <w:p w:rsidRPr="00994DA1" w:rsidR="00F21A43" w:rsidP="00F21A43" w:rsidRDefault="00F21A43" w14:paraId="3D0C30FB" w14:textId="2EF12744">
            <w:pPr>
              <w:pStyle w:val="NoSpacing"/>
              <w:spacing w:line="276" w:lineRule="auto"/>
              <w:ind w:right="-23"/>
              <w:rPr>
                <w:b/>
                <w:bCs/>
              </w:rPr>
            </w:pPr>
            <w:r w:rsidRPr="00994DA1">
              <w:rPr>
                <w:b/>
                <w:bCs/>
              </w:rPr>
              <w:t>Phase:</w:t>
            </w:r>
          </w:p>
        </w:tc>
        <w:tc>
          <w:tcPr>
            <w:tcW w:w="3777" w:type="dxa"/>
            <w:tcBorders>
              <w:top w:val="single" w:color="auto" w:sz="12" w:space="0"/>
              <w:bottom w:val="single" w:color="auto" w:sz="12" w:space="0"/>
              <w:right w:val="single" w:color="auto" w:sz="12" w:space="0"/>
            </w:tcBorders>
            <w:tcMar/>
          </w:tcPr>
          <w:p w:rsidR="00F21A43" w:rsidP="00F21A43" w:rsidRDefault="00F21A43" w14:paraId="17BFE8C0" w14:textId="366AE81B">
            <w:pPr>
              <w:pStyle w:val="NoSpacing"/>
              <w:spacing w:line="276" w:lineRule="auto"/>
              <w:ind w:right="-23"/>
            </w:pPr>
            <w:r w:rsidR="3BC8173D">
              <w:rPr/>
              <w:t>Consolidation</w:t>
            </w:r>
          </w:p>
        </w:tc>
        <w:tc>
          <w:tcPr>
            <w:tcW w:w="1043" w:type="dxa"/>
            <w:tcBorders>
              <w:top w:val="single" w:color="auto" w:sz="12" w:space="0"/>
              <w:left w:val="single" w:color="auto" w:sz="12" w:space="0"/>
              <w:bottom w:val="single" w:color="auto" w:sz="12" w:space="0"/>
            </w:tcBorders>
            <w:shd w:val="clear" w:color="auto" w:fill="CCC0D9" w:themeFill="accent4" w:themeFillTint="66"/>
            <w:tcMar/>
          </w:tcPr>
          <w:p w:rsidRPr="00994DA1" w:rsidR="00F21A43" w:rsidP="00F21A43" w:rsidRDefault="00F21A43" w14:paraId="3449D5D8" w14:textId="2C531CCD">
            <w:pPr>
              <w:pStyle w:val="NoSpacing"/>
              <w:spacing w:line="276" w:lineRule="auto"/>
              <w:ind w:right="-23"/>
              <w:rPr>
                <w:b/>
                <w:bCs/>
              </w:rPr>
            </w:pPr>
            <w:r w:rsidRPr="00994DA1">
              <w:rPr>
                <w:b/>
                <w:bCs/>
              </w:rPr>
              <w:t>Week:</w:t>
            </w:r>
          </w:p>
        </w:tc>
        <w:tc>
          <w:tcPr>
            <w:tcW w:w="4923" w:type="dxa"/>
            <w:tcBorders>
              <w:top w:val="single" w:color="auto" w:sz="12" w:space="0"/>
              <w:bottom w:val="single" w:color="auto" w:sz="12" w:space="0"/>
              <w:right w:val="single" w:color="auto" w:sz="12" w:space="0"/>
            </w:tcBorders>
            <w:tcMar/>
          </w:tcPr>
          <w:p w:rsidR="00F21A43" w:rsidP="00F21A43" w:rsidRDefault="00F21A43" w14:paraId="1CD1C295" w14:textId="0AC69BD9">
            <w:pPr>
              <w:pStyle w:val="NoSpacing"/>
              <w:spacing w:line="276" w:lineRule="auto"/>
              <w:ind w:right="-23"/>
            </w:pPr>
            <w:r w:rsidR="3276FFE8">
              <w:rPr/>
              <w:t>10th March 2025</w:t>
            </w:r>
          </w:p>
        </w:tc>
      </w:tr>
    </w:tbl>
    <w:p w:rsidR="00994DA1" w:rsidP="00994DA1" w:rsidRDefault="00994DA1" w14:paraId="0A032D40" w14:textId="36EBB5EF">
      <w:pPr>
        <w:pStyle w:val="NoSpacing"/>
        <w:spacing w:before="240" w:after="240"/>
        <w:ind w:right="-23"/>
      </w:pPr>
      <w:r>
        <w:t>Thank you, Mentors.</w:t>
      </w:r>
    </w:p>
    <w:tbl>
      <w:tblPr>
        <w:tblW w:w="10966" w:type="dxa"/>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5250"/>
        <w:gridCol w:w="5716"/>
      </w:tblGrid>
      <w:tr w:rsidR="00994DA1" w:rsidTr="07223E26" w14:paraId="5F01D4A8" w14:textId="77777777">
        <w:trPr>
          <w:trHeight w:val="310"/>
        </w:trPr>
        <w:tc>
          <w:tcPr>
            <w:tcW w:w="10966" w:type="dxa"/>
            <w:gridSpan w:val="2"/>
            <w:shd w:val="clear" w:color="auto" w:fill="CCC0D9" w:themeFill="accent4" w:themeFillTint="66"/>
            <w:tcMar/>
          </w:tcPr>
          <w:p w:rsidRPr="00994DA1" w:rsidR="00994DA1" w:rsidP="00994DA1" w:rsidRDefault="00994DA1" w14:paraId="6CED19C0" w14:textId="079670E2">
            <w:pPr>
              <w:pStyle w:val="NoSpacing"/>
              <w:spacing w:line="276" w:lineRule="auto"/>
              <w:ind w:right="-23"/>
              <w:rPr>
                <w:b/>
                <w:bCs/>
              </w:rPr>
            </w:pPr>
            <w:r w:rsidRPr="00994DA1">
              <w:rPr>
                <w:b/>
                <w:bCs/>
              </w:rPr>
              <w:t>Weekly intended curriculum expectations linked to CCF:</w:t>
            </w:r>
          </w:p>
        </w:tc>
      </w:tr>
      <w:tr w:rsidR="00994DA1" w:rsidTr="07223E26" w14:paraId="10459E8E" w14:textId="77777777">
        <w:trPr>
          <w:trHeight w:val="2655"/>
        </w:trPr>
        <w:tc>
          <w:tcPr>
            <w:tcW w:w="10966" w:type="dxa"/>
            <w:gridSpan w:val="2"/>
            <w:tcMar/>
          </w:tcPr>
          <w:p w:rsidR="07223E26" w:rsidP="07223E26" w:rsidRDefault="07223E26" w14:paraId="6E99E060" w14:textId="37EF20C3">
            <w:pPr>
              <w:spacing w:before="0" w:beforeAutospacing="off" w:after="0" w:afterAutospacing="off"/>
              <w:ind w:left="-20" w:right="-20"/>
              <w:rPr>
                <w:rFonts w:ascii="Arial" w:hAnsi="Arial" w:eastAsia="Arial" w:cs="Arial"/>
                <w:noProof w:val="0"/>
                <w:sz w:val="20"/>
                <w:szCs w:val="20"/>
                <w:lang w:val="en-GB"/>
              </w:rPr>
            </w:pPr>
            <w:r w:rsidRPr="07223E26" w:rsidR="07223E26">
              <w:rPr>
                <w:rFonts w:ascii="Arial" w:hAnsi="Arial" w:eastAsia="Arial" w:cs="Arial"/>
                <w:b w:val="1"/>
                <w:bCs w:val="1"/>
                <w:i w:val="0"/>
                <w:iCs w:val="0"/>
                <w:caps w:val="0"/>
                <w:smallCaps w:val="0"/>
                <w:color w:val="000000" w:themeColor="text1" w:themeTint="FF" w:themeShade="FF"/>
                <w:sz w:val="20"/>
                <w:szCs w:val="20"/>
                <w:lang w:val="en-GB"/>
              </w:rPr>
              <w:t>SK</w:t>
            </w:r>
            <w:r w:rsidRPr="07223E26" w:rsidR="1867B824">
              <w:rPr>
                <w:rFonts w:ascii="Arial" w:hAnsi="Arial" w:eastAsia="Arial" w:cs="Arial"/>
                <w:b w:val="1"/>
                <w:bCs w:val="1"/>
                <w:i w:val="0"/>
                <w:iCs w:val="0"/>
                <w:caps w:val="0"/>
                <w:smallCaps w:val="0"/>
                <w:color w:val="000000" w:themeColor="text1" w:themeTint="FF" w:themeShade="FF"/>
                <w:sz w:val="20"/>
                <w:szCs w:val="20"/>
                <w:lang w:val="en-GB"/>
              </w:rPr>
              <w:t xml:space="preserve"> - Refer to Subject Component Grid for Core and Foundation Subject Knowledge Focuses</w:t>
            </w:r>
          </w:p>
          <w:p w:rsidR="07223E26" w:rsidP="07223E26" w:rsidRDefault="07223E26" w14:paraId="1F6DA43C" w14:textId="304CA3F3">
            <w:pPr>
              <w:spacing w:before="0" w:beforeAutospacing="off" w:after="0" w:afterAutospacing="off"/>
              <w:ind w:left="-20" w:right="-20"/>
              <w:rPr>
                <w:rFonts w:ascii="Arial" w:hAnsi="Arial" w:eastAsia="Arial" w:cs="Arial"/>
                <w:b w:val="1"/>
                <w:bCs w:val="1"/>
                <w:i w:val="0"/>
                <w:iCs w:val="0"/>
                <w:caps w:val="0"/>
                <w:smallCaps w:val="0"/>
                <w:color w:val="000000" w:themeColor="text1" w:themeTint="FF" w:themeShade="FF"/>
                <w:sz w:val="20"/>
                <w:szCs w:val="20"/>
                <w:lang w:val="en-GB"/>
              </w:rPr>
            </w:pPr>
          </w:p>
          <w:p w:rsidR="1867B824" w:rsidP="07223E26" w:rsidRDefault="1867B824" w14:paraId="0AE5E6BF" w14:textId="2BC73028">
            <w:pPr>
              <w:spacing w:after="200" w:afterAutospacing="off" w:line="276" w:lineRule="auto"/>
              <w:ind w:left="-20" w:right="-20"/>
              <w:rPr>
                <w:rFonts w:ascii="Arial" w:hAnsi="Arial" w:eastAsia="Arial" w:cs="Arial"/>
                <w:noProof w:val="0"/>
                <w:sz w:val="20"/>
                <w:szCs w:val="20"/>
                <w:lang w:val="en-GB"/>
              </w:rPr>
            </w:pPr>
            <w:r w:rsidRPr="07223E26" w:rsidR="1867B824">
              <w:rPr>
                <w:rFonts w:ascii="Arial" w:hAnsi="Arial" w:eastAsia="Arial" w:cs="Arial"/>
                <w:b w:val="1"/>
                <w:bCs w:val="1"/>
                <w:i w:val="0"/>
                <w:iCs w:val="0"/>
                <w:caps w:val="0"/>
                <w:smallCaps w:val="0"/>
                <w:color w:val="000000" w:themeColor="text1" w:themeTint="FF" w:themeShade="FF"/>
                <w:sz w:val="20"/>
                <w:szCs w:val="20"/>
                <w:lang w:val="en-GB"/>
              </w:rPr>
              <w:t xml:space="preserve">HE - </w:t>
            </w:r>
            <w:r w:rsidRPr="07223E26" w:rsidR="1867B824">
              <w:rPr>
                <w:rFonts w:ascii="Arial" w:hAnsi="Arial" w:eastAsia="Arial" w:cs="Arial"/>
                <w:b w:val="0"/>
                <w:bCs w:val="0"/>
                <w:i w:val="0"/>
                <w:iCs w:val="0"/>
                <w:caps w:val="0"/>
                <w:smallCaps w:val="0"/>
                <w:noProof w:val="0"/>
                <w:color w:val="000000" w:themeColor="text1" w:themeTint="FF" w:themeShade="FF"/>
                <w:sz w:val="20"/>
                <w:szCs w:val="20"/>
                <w:lang w:val="en-GB"/>
              </w:rPr>
              <w:t>Understand the importance of an inclusive physical learning environment and plan for this to ensure equality of access and learning experiences for a diverse range of learners across all the areas of learning</w:t>
            </w:r>
            <w:r w:rsidRPr="07223E26" w:rsidR="1867B824">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07223E26" w:rsidR="1867B824">
              <w:rPr>
                <w:rFonts w:ascii="Arial" w:hAnsi="Arial" w:eastAsia="Arial" w:cs="Arial"/>
                <w:noProof w:val="0"/>
                <w:sz w:val="20"/>
                <w:szCs w:val="20"/>
                <w:lang w:val="en-GB"/>
              </w:rPr>
              <w:t xml:space="preserve"> </w:t>
            </w:r>
          </w:p>
          <w:p w:rsidR="1867B824" w:rsidP="07223E26" w:rsidRDefault="1867B824" w14:paraId="072DAD0E" w14:textId="5E38C9A9">
            <w:pPr>
              <w:spacing w:before="0" w:beforeAutospacing="off" w:after="0" w:afterAutospacing="off"/>
              <w:ind w:left="-20" w:right="-20"/>
              <w:rPr>
                <w:rFonts w:ascii="Arial" w:hAnsi="Arial" w:eastAsia="Arial" w:cs="Arial"/>
                <w:b w:val="0"/>
                <w:bCs w:val="0"/>
                <w:i w:val="0"/>
                <w:iCs w:val="0"/>
                <w:caps w:val="0"/>
                <w:smallCaps w:val="0"/>
                <w:noProof w:val="0"/>
                <w:color w:val="000000" w:themeColor="text1" w:themeTint="FF" w:themeShade="FF"/>
                <w:sz w:val="20"/>
                <w:szCs w:val="20"/>
                <w:lang w:val="en-GB"/>
              </w:rPr>
            </w:pPr>
            <w:r w:rsidRPr="07223E26" w:rsidR="1867B824">
              <w:rPr>
                <w:rFonts w:ascii="Arial" w:hAnsi="Arial" w:eastAsia="Arial" w:cs="Arial"/>
                <w:b w:val="1"/>
                <w:bCs w:val="1"/>
                <w:i w:val="0"/>
                <w:iCs w:val="0"/>
                <w:caps w:val="0"/>
                <w:smallCaps w:val="0"/>
                <w:color w:val="000000" w:themeColor="text1" w:themeTint="FF" w:themeShade="FF"/>
                <w:sz w:val="20"/>
                <w:szCs w:val="20"/>
                <w:lang w:val="en-GB"/>
              </w:rPr>
              <w:t xml:space="preserve">HPL - </w:t>
            </w:r>
            <w:r w:rsidRPr="07223E26" w:rsidR="1867B824">
              <w:rPr>
                <w:rFonts w:ascii="Arial" w:hAnsi="Arial" w:eastAsia="Arial" w:cs="Arial"/>
                <w:b w:val="0"/>
                <w:bCs w:val="0"/>
                <w:i w:val="0"/>
                <w:iCs w:val="0"/>
                <w:caps w:val="0"/>
                <w:smallCaps w:val="0"/>
                <w:noProof w:val="0"/>
                <w:color w:val="000000" w:themeColor="text1" w:themeTint="FF" w:themeShade="FF"/>
                <w:sz w:val="20"/>
                <w:szCs w:val="20"/>
                <w:lang w:val="en-GB"/>
              </w:rPr>
              <w:t>Understand the importance of an inclusive physical learning environment and plan for this to ensure progress across all the areas of learning.</w:t>
            </w:r>
          </w:p>
          <w:p w:rsidR="07223E26" w:rsidP="07223E26" w:rsidRDefault="07223E26" w14:paraId="48A12C75" w14:textId="0DFB03B5">
            <w:pPr>
              <w:spacing w:before="0" w:beforeAutospacing="off" w:after="0" w:afterAutospacing="off"/>
              <w:ind w:left="-20" w:right="-20"/>
              <w:rPr>
                <w:rFonts w:ascii="Arial" w:hAnsi="Arial" w:eastAsia="Arial" w:cs="Arial"/>
                <w:b w:val="0"/>
                <w:bCs w:val="0"/>
                <w:i w:val="0"/>
                <w:iCs w:val="0"/>
                <w:caps w:val="0"/>
                <w:smallCaps w:val="0"/>
                <w:noProof w:val="0"/>
                <w:color w:val="000000" w:themeColor="text1" w:themeTint="FF" w:themeShade="FF"/>
                <w:sz w:val="20"/>
                <w:szCs w:val="20"/>
                <w:lang w:val="en-GB"/>
              </w:rPr>
            </w:pPr>
          </w:p>
          <w:p w:rsidR="1867B824" w:rsidP="07223E26" w:rsidRDefault="1867B824" w14:paraId="5EE9F7A3" w14:textId="57DDF212">
            <w:pPr>
              <w:spacing w:before="0" w:beforeAutospacing="off" w:after="0" w:afterAutospacing="off"/>
              <w:ind w:left="-20" w:right="-20"/>
              <w:rPr>
                <w:rFonts w:ascii="Arial" w:hAnsi="Arial" w:eastAsia="Arial" w:cs="Arial"/>
                <w:noProof w:val="0"/>
                <w:sz w:val="20"/>
                <w:szCs w:val="20"/>
                <w:lang w:val="en-GB"/>
              </w:rPr>
            </w:pPr>
            <w:r w:rsidRPr="07223E26" w:rsidR="1867B824">
              <w:rPr>
                <w:rFonts w:ascii="Arial" w:hAnsi="Arial" w:eastAsia="Arial" w:cs="Arial"/>
                <w:b w:val="0"/>
                <w:bCs w:val="0"/>
                <w:i w:val="0"/>
                <w:iCs w:val="0"/>
                <w:caps w:val="0"/>
                <w:smallCaps w:val="0"/>
                <w:noProof w:val="0"/>
                <w:color w:val="000000" w:themeColor="text1" w:themeTint="FF" w:themeShade="FF"/>
                <w:sz w:val="20"/>
                <w:szCs w:val="20"/>
                <w:lang w:val="en-GB"/>
              </w:rPr>
              <w:t xml:space="preserve">HPL - Manage and </w:t>
            </w:r>
            <w:r w:rsidRPr="07223E26" w:rsidR="1867B824">
              <w:rPr>
                <w:rFonts w:ascii="Arial" w:hAnsi="Arial" w:eastAsia="Arial" w:cs="Arial"/>
                <w:b w:val="0"/>
                <w:bCs w:val="0"/>
                <w:i w:val="0"/>
                <w:iCs w:val="0"/>
                <w:caps w:val="0"/>
                <w:smallCaps w:val="0"/>
                <w:noProof w:val="0"/>
                <w:color w:val="000000" w:themeColor="text1" w:themeTint="FF" w:themeShade="FF"/>
                <w:sz w:val="20"/>
                <w:szCs w:val="20"/>
                <w:lang w:val="en-GB"/>
              </w:rPr>
              <w:t>be responsible for</w:t>
            </w:r>
            <w:r w:rsidRPr="07223E26" w:rsidR="1867B824">
              <w:rPr>
                <w:rFonts w:ascii="Arial" w:hAnsi="Arial" w:eastAsia="Arial" w:cs="Arial"/>
                <w:b w:val="0"/>
                <w:bCs w:val="0"/>
                <w:i w:val="0"/>
                <w:iCs w:val="0"/>
                <w:caps w:val="0"/>
                <w:smallCaps w:val="0"/>
                <w:noProof w:val="0"/>
                <w:color w:val="000000" w:themeColor="text1" w:themeTint="FF" w:themeShade="FF"/>
                <w:sz w:val="20"/>
                <w:szCs w:val="20"/>
                <w:lang w:val="en-GB"/>
              </w:rPr>
              <w:t xml:space="preserve"> areas of learning during continuous provision</w:t>
            </w:r>
          </w:p>
          <w:p w:rsidR="07223E26" w:rsidP="07223E26" w:rsidRDefault="07223E26" w14:paraId="294AECBA" w14:textId="1321A5AB">
            <w:pPr>
              <w:spacing w:before="0" w:beforeAutospacing="off" w:after="0" w:afterAutospacing="off"/>
              <w:ind w:left="-20" w:right="-20"/>
              <w:rPr>
                <w:rFonts w:ascii="Arial" w:hAnsi="Arial" w:eastAsia="Arial" w:cs="Arial"/>
                <w:b w:val="0"/>
                <w:bCs w:val="0"/>
                <w:i w:val="0"/>
                <w:iCs w:val="0"/>
                <w:caps w:val="0"/>
                <w:smallCaps w:val="0"/>
                <w:noProof w:val="0"/>
                <w:color w:val="000000" w:themeColor="text1" w:themeTint="FF" w:themeShade="FF"/>
                <w:sz w:val="20"/>
                <w:szCs w:val="20"/>
                <w:lang w:val="en-GB"/>
              </w:rPr>
            </w:pPr>
          </w:p>
          <w:p w:rsidR="07223E26" w:rsidP="07223E26" w:rsidRDefault="07223E26" w14:paraId="30DC3A34" w14:textId="52E84F37">
            <w:pPr>
              <w:spacing w:before="0" w:beforeAutospacing="off" w:after="0" w:afterAutospacing="off"/>
              <w:ind w:left="-20" w:right="-20"/>
              <w:rPr>
                <w:rFonts w:ascii="Arial" w:hAnsi="Arial" w:eastAsia="Arial" w:cs="Arial"/>
                <w:b w:val="1"/>
                <w:bCs w:val="1"/>
                <w:i w:val="0"/>
                <w:iCs w:val="0"/>
                <w:caps w:val="0"/>
                <w:smallCaps w:val="0"/>
                <w:color w:val="000000" w:themeColor="text1" w:themeTint="FF" w:themeShade="FF"/>
                <w:sz w:val="20"/>
                <w:szCs w:val="20"/>
                <w:lang w:val="en-GB"/>
              </w:rPr>
            </w:pPr>
          </w:p>
          <w:p w:rsidR="1867B824" w:rsidP="07223E26" w:rsidRDefault="1867B824" w14:paraId="11DEC507" w14:textId="69F2E862">
            <w:pPr>
              <w:spacing w:before="0" w:beforeAutospacing="off" w:after="0" w:afterAutospacing="off"/>
              <w:ind w:left="-20" w:right="-20"/>
              <w:rPr>
                <w:rFonts w:ascii="Arial" w:hAnsi="Arial" w:eastAsia="Arial" w:cs="Arial"/>
                <w:noProof w:val="0"/>
                <w:sz w:val="20"/>
                <w:szCs w:val="20"/>
                <w:lang w:val="en-GB"/>
              </w:rPr>
            </w:pPr>
            <w:r w:rsidRPr="07223E26" w:rsidR="1867B824">
              <w:rPr>
                <w:rFonts w:ascii="Arial" w:hAnsi="Arial" w:eastAsia="Arial" w:cs="Arial"/>
                <w:b w:val="1"/>
                <w:bCs w:val="1"/>
                <w:i w:val="0"/>
                <w:iCs w:val="0"/>
                <w:caps w:val="0"/>
                <w:smallCaps w:val="0"/>
                <w:color w:val="000000" w:themeColor="text1" w:themeTint="FF" w:themeShade="FF"/>
                <w:sz w:val="20"/>
                <w:szCs w:val="20"/>
                <w:lang w:val="en-GB"/>
              </w:rPr>
              <w:t xml:space="preserve">PB - </w:t>
            </w:r>
            <w:r w:rsidRPr="07223E26" w:rsidR="1867B824">
              <w:rPr>
                <w:rFonts w:ascii="Arial" w:hAnsi="Arial" w:eastAsia="Arial" w:cs="Arial"/>
                <w:b w:val="0"/>
                <w:bCs w:val="0"/>
                <w:i w:val="0"/>
                <w:iCs w:val="0"/>
                <w:caps w:val="0"/>
                <w:smallCaps w:val="0"/>
                <w:noProof w:val="0"/>
                <w:color w:val="000000" w:themeColor="text1" w:themeTint="FF" w:themeShade="FF"/>
                <w:sz w:val="20"/>
                <w:szCs w:val="20"/>
                <w:lang w:val="en-GB"/>
              </w:rPr>
              <w:t>Understand how to collaborate in multi-agency working with internal and external colleagues (e.g., the role of CAMHS and other agencies in supporting mental health needs.</w:t>
            </w:r>
          </w:p>
          <w:p w:rsidR="07223E26" w:rsidP="07223E26" w:rsidRDefault="07223E26" w14:paraId="7D80C06A" w14:textId="274FA841">
            <w:pPr>
              <w:spacing w:before="0" w:beforeAutospacing="off" w:after="0" w:afterAutospacing="off"/>
              <w:ind w:left="-20" w:right="-20"/>
              <w:rPr>
                <w:rFonts w:ascii="Maiandra GD" w:hAnsi="Maiandra GD" w:eastAsia="Maiandra GD" w:cs="Maiandra GD"/>
                <w:b w:val="1"/>
                <w:bCs w:val="1"/>
                <w:i w:val="0"/>
                <w:iCs w:val="0"/>
                <w:caps w:val="0"/>
                <w:smallCaps w:val="0"/>
                <w:color w:val="000000" w:themeColor="text1" w:themeTint="FF" w:themeShade="FF"/>
                <w:sz w:val="18"/>
                <w:szCs w:val="18"/>
                <w:lang w:val="en-GB"/>
              </w:rPr>
            </w:pPr>
          </w:p>
          <w:p w:rsidR="07223E26" w:rsidP="07223E26" w:rsidRDefault="07223E26" w14:paraId="1724E7E5" w14:textId="7A5E6DE4">
            <w:pPr>
              <w:spacing w:before="0" w:beforeAutospacing="off" w:after="0" w:afterAutospacing="off"/>
              <w:ind w:left="-20" w:right="-20"/>
              <w:rPr>
                <w:rFonts w:ascii="Maiandra GD" w:hAnsi="Maiandra GD" w:eastAsia="Maiandra GD" w:cs="Maiandra GD"/>
                <w:b w:val="1"/>
                <w:bCs w:val="1"/>
                <w:i w:val="0"/>
                <w:iCs w:val="0"/>
                <w:caps w:val="0"/>
                <w:smallCaps w:val="0"/>
                <w:color w:val="000000" w:themeColor="text1" w:themeTint="FF" w:themeShade="FF"/>
                <w:sz w:val="18"/>
                <w:szCs w:val="18"/>
                <w:lang w:val="en-GB"/>
              </w:rPr>
            </w:pPr>
          </w:p>
        </w:tc>
      </w:tr>
      <w:tr w:rsidR="00994DA1" w:rsidTr="07223E26" w14:paraId="00501F7E" w14:textId="77777777">
        <w:trPr>
          <w:trHeight w:val="330"/>
        </w:trPr>
        <w:tc>
          <w:tcPr>
            <w:tcW w:w="10966" w:type="dxa"/>
            <w:gridSpan w:val="2"/>
            <w:shd w:val="clear" w:color="auto" w:fill="CCC0D9" w:themeFill="accent4" w:themeFillTint="66"/>
            <w:tcMar/>
          </w:tcPr>
          <w:p w:rsidRPr="00994DA1" w:rsidR="00994DA1" w:rsidP="00994DA1" w:rsidRDefault="001F0811" w14:paraId="3ECE02D9" w14:textId="4DECF88D">
            <w:pPr>
              <w:pStyle w:val="NoSpacing"/>
              <w:spacing w:line="276" w:lineRule="auto"/>
              <w:ind w:right="-23"/>
              <w:rPr>
                <w:b/>
                <w:bCs/>
              </w:rPr>
            </w:pPr>
            <w:r>
              <w:rPr>
                <w:b/>
                <w:bCs/>
              </w:rPr>
              <w:t>Mentor Focus:</w:t>
            </w:r>
          </w:p>
        </w:tc>
      </w:tr>
      <w:tr w:rsidR="00994DA1" w:rsidTr="07223E26" w14:paraId="7CE8A7CB" w14:textId="77777777">
        <w:trPr>
          <w:trHeight w:val="2457"/>
        </w:trPr>
        <w:tc>
          <w:tcPr>
            <w:tcW w:w="10966" w:type="dxa"/>
            <w:gridSpan w:val="2"/>
            <w:tcMar/>
          </w:tcPr>
          <w:p w:rsidR="00994DA1" w:rsidP="07223E26" w:rsidRDefault="00994DA1" w14:paraId="57DC2B1D" w14:textId="1B139DE2">
            <w:pPr>
              <w:pStyle w:val="NoSpacing"/>
              <w:spacing w:line="276" w:lineRule="auto"/>
              <w:ind w:right="-23"/>
            </w:pP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 xml:space="preserve">We would ask that Mentors focus their Weekly Development Meeting (WDM) upon the Intended Curriculum, as </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identified</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 xml:space="preserve"> above and in the Professional Practice Handbook for Week 3. Additionally, engage trainees in professional dialogue related to what they have been learning in university-based sessions as well as what they have learned about the children in your setting and their attainment, and how they will be able to use this new knowledge and understanding to help them in planning and delivering effective learning opportunities for the children in the future. In relation to future targets within the WDS forms, please could you set targets that relate to the Intended Curriculum for that week or the next one and be very mindful of how trainees can action and complete these targets within the </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timeframe</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 xml:space="preserve"> they have. If you </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require</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 xml:space="preserve"> further support with target setting, please do contact your trainee’s Link Tutor in the first instance. Also, please remind trainees to use both the strand and subject </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component</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 xml:space="preserve"> trackers to ensure they </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have the opportunity to</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 xml:space="preserve"> cover all aspects of the curriculum, including any gaps they may have from their </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previous</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 xml:space="preserve"> placements. Trainees have been reminded that they need to teach all subjects where possible or at the least either </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observe</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 xml:space="preserve"> a lesson or have a professional conversation with a subject specialist about their </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particular curriculum</w:t>
            </w:r>
            <w:r w:rsidRPr="07223E26" w:rsidR="7BBA5D9E">
              <w:rPr>
                <w:rFonts w:ascii="Arial" w:hAnsi="Arial" w:eastAsia="Arial" w:cs="Arial"/>
                <w:b w:val="0"/>
                <w:bCs w:val="0"/>
                <w:i w:val="0"/>
                <w:iCs w:val="0"/>
                <w:caps w:val="0"/>
                <w:smallCaps w:val="0"/>
                <w:noProof w:val="0"/>
                <w:color w:val="000000" w:themeColor="text1" w:themeTint="FF" w:themeShade="FF"/>
                <w:sz w:val="22"/>
                <w:szCs w:val="22"/>
                <w:lang w:val="en-GB"/>
              </w:rPr>
              <w:t xml:space="preserve"> area. </w:t>
            </w:r>
            <w:r w:rsidRPr="07223E26" w:rsidR="7BBA5D9E">
              <w:rPr>
                <w:rFonts w:ascii="Arial" w:hAnsi="Arial" w:eastAsia="Arial" w:cs="Arial"/>
                <w:noProof w:val="0"/>
                <w:sz w:val="24"/>
                <w:szCs w:val="24"/>
                <w:lang w:val="en-GB"/>
              </w:rPr>
              <w:t xml:space="preserve"> </w:t>
            </w:r>
          </w:p>
          <w:p w:rsidR="00994DA1" w:rsidP="07223E26" w:rsidRDefault="00994DA1" w14:paraId="4B65FEB8" w14:textId="17FA6625">
            <w:pPr>
              <w:pStyle w:val="NoSpacing"/>
              <w:spacing w:line="276" w:lineRule="auto"/>
              <w:ind w:right="-23"/>
              <w:rPr>
                <w:rFonts w:ascii="Arial" w:hAnsi="Arial" w:eastAsia="Arial" w:cs="Arial"/>
                <w:noProof w:val="0"/>
                <w:sz w:val="24"/>
                <w:szCs w:val="24"/>
                <w:lang w:val="en-GB"/>
              </w:rPr>
            </w:pPr>
          </w:p>
          <w:p w:rsidR="00994DA1" w:rsidP="07223E26" w:rsidRDefault="00994DA1" w14:paraId="478A7C96" w14:textId="230164EB">
            <w:pPr>
              <w:pStyle w:val="NoSpacing"/>
              <w:spacing w:line="276" w:lineRule="auto"/>
              <w:ind w:right="-23"/>
              <w:rPr>
                <w:rFonts w:ascii="Arial" w:hAnsi="Arial" w:eastAsia="Arial" w:cs="Arial"/>
                <w:noProof w:val="0"/>
                <w:sz w:val="24"/>
                <w:szCs w:val="24"/>
                <w:lang w:val="en-GB"/>
              </w:rPr>
            </w:pPr>
            <w:r w:rsidRPr="07223E26" w:rsidR="4CCB0A08">
              <w:rPr>
                <w:rFonts w:ascii="Arial" w:hAnsi="Arial" w:eastAsia="Arial" w:cs="Arial"/>
                <w:noProof w:val="0"/>
                <w:sz w:val="24"/>
                <w:szCs w:val="24"/>
                <w:lang w:val="en-GB"/>
              </w:rPr>
              <w:t xml:space="preserve">Finally, if any of you have any </w:t>
            </w:r>
            <w:r w:rsidRPr="07223E26" w:rsidR="4CCB0A08">
              <w:rPr>
                <w:rFonts w:ascii="Arial" w:hAnsi="Arial" w:eastAsia="Arial" w:cs="Arial"/>
                <w:noProof w:val="0"/>
                <w:sz w:val="24"/>
                <w:szCs w:val="24"/>
                <w:lang w:val="en-GB"/>
              </w:rPr>
              <w:t>general  queries</w:t>
            </w:r>
            <w:r w:rsidRPr="07223E26" w:rsidR="62D7CF69">
              <w:rPr>
                <w:rFonts w:ascii="Arial" w:hAnsi="Arial" w:eastAsia="Arial" w:cs="Arial"/>
                <w:noProof w:val="0"/>
                <w:sz w:val="24"/>
                <w:szCs w:val="24"/>
                <w:lang w:val="en-GB"/>
              </w:rPr>
              <w:t xml:space="preserve"> </w:t>
            </w:r>
            <w:r w:rsidRPr="07223E26" w:rsidR="62D7CF69">
              <w:rPr>
                <w:rFonts w:ascii="Arial" w:hAnsi="Arial" w:eastAsia="Arial" w:cs="Arial"/>
                <w:noProof w:val="0"/>
                <w:sz w:val="24"/>
                <w:szCs w:val="24"/>
                <w:lang w:val="en-GB"/>
              </w:rPr>
              <w:t>regarding</w:t>
            </w:r>
            <w:r w:rsidRPr="07223E26" w:rsidR="62D7CF69">
              <w:rPr>
                <w:rFonts w:ascii="Arial" w:hAnsi="Arial" w:eastAsia="Arial" w:cs="Arial"/>
                <w:noProof w:val="0"/>
                <w:sz w:val="24"/>
                <w:szCs w:val="24"/>
                <w:lang w:val="en-GB"/>
              </w:rPr>
              <w:t xml:space="preserve"> Abyasa, phase specific training date</w:t>
            </w:r>
            <w:r w:rsidRPr="07223E26" w:rsidR="198F191E">
              <w:rPr>
                <w:rFonts w:ascii="Arial" w:hAnsi="Arial" w:eastAsia="Arial" w:cs="Arial"/>
                <w:noProof w:val="0"/>
                <w:sz w:val="24"/>
                <w:szCs w:val="24"/>
                <w:lang w:val="en-GB"/>
              </w:rPr>
              <w:t xml:space="preserve">s or documentation, please follow this link to the </w:t>
            </w:r>
            <w:r w:rsidRPr="07223E26" w:rsidR="198F191E">
              <w:rPr>
                <w:rFonts w:ascii="Arial" w:hAnsi="Arial" w:eastAsia="Arial" w:cs="Arial"/>
                <w:noProof w:val="0"/>
                <w:sz w:val="24"/>
                <w:szCs w:val="24"/>
                <w:lang w:val="en-GB"/>
              </w:rPr>
              <w:t>appropriate space</w:t>
            </w:r>
            <w:r w:rsidRPr="07223E26" w:rsidR="198F191E">
              <w:rPr>
                <w:rFonts w:ascii="Arial" w:hAnsi="Arial" w:eastAsia="Arial" w:cs="Arial"/>
                <w:noProof w:val="0"/>
                <w:sz w:val="24"/>
                <w:szCs w:val="24"/>
                <w:lang w:val="en-GB"/>
              </w:rPr>
              <w:t xml:space="preserve"> on the mentor site </w:t>
            </w:r>
            <w:hyperlink r:id="Ra91e162ca522467b">
              <w:r w:rsidRPr="07223E26" w:rsidR="198F191E">
                <w:rPr>
                  <w:rStyle w:val="Hyperlink"/>
                  <w:rFonts w:ascii="Arial" w:hAnsi="Arial" w:eastAsia="Arial" w:cs="Arial"/>
                  <w:noProof w:val="0"/>
                  <w:sz w:val="24"/>
                  <w:szCs w:val="24"/>
                  <w:lang w:val="en-GB"/>
                </w:rPr>
                <w:t>https://sites.edgehill.ac.uk/mentorspace/eyug3/</w:t>
              </w:r>
            </w:hyperlink>
            <w:r w:rsidRPr="07223E26" w:rsidR="198F191E">
              <w:rPr>
                <w:rFonts w:ascii="Arial" w:hAnsi="Arial" w:eastAsia="Arial" w:cs="Arial"/>
                <w:noProof w:val="0"/>
                <w:sz w:val="24"/>
                <w:szCs w:val="24"/>
                <w:lang w:val="en-GB"/>
              </w:rPr>
              <w:t xml:space="preserve"> </w:t>
            </w:r>
          </w:p>
          <w:p w:rsidR="00994DA1" w:rsidP="07223E26" w:rsidRDefault="00994DA1" w14:paraId="2E4A8BF9" w14:textId="11F4F8DB">
            <w:pPr>
              <w:pStyle w:val="NoSpacing"/>
              <w:spacing w:line="276" w:lineRule="auto"/>
              <w:ind w:right="-23"/>
              <w:rPr>
                <w:rFonts w:ascii="Arial" w:hAnsi="Arial" w:eastAsia="Arial" w:cs="Arial"/>
                <w:noProof w:val="0"/>
                <w:sz w:val="24"/>
                <w:szCs w:val="24"/>
                <w:lang w:val="en-GB"/>
              </w:rPr>
            </w:pPr>
          </w:p>
        </w:tc>
      </w:tr>
      <w:tr w:rsidR="00994DA1" w:rsidTr="07223E26" w14:paraId="651385F9" w14:textId="06C0C143">
        <w:trPr>
          <w:trHeight w:val="241"/>
        </w:trPr>
        <w:tc>
          <w:tcPr>
            <w:tcW w:w="5250" w:type="dxa"/>
            <w:shd w:val="clear" w:color="auto" w:fill="CCC0D9" w:themeFill="accent4" w:themeFillTint="66"/>
            <w:tcMar/>
          </w:tcPr>
          <w:p w:rsidRPr="00994DA1" w:rsidR="00994DA1" w:rsidP="00994DA1" w:rsidRDefault="001F0811" w14:paraId="554221B2" w14:textId="2D9C09CB">
            <w:pPr>
              <w:pStyle w:val="NoSpacing"/>
              <w:spacing w:line="276" w:lineRule="auto"/>
              <w:ind w:right="-23"/>
              <w:rPr>
                <w:b/>
                <w:bCs/>
              </w:rPr>
            </w:pPr>
            <w:r w:rsidRPr="00994DA1">
              <w:rPr>
                <w:b/>
                <w:bCs/>
              </w:rPr>
              <w:t>Observation of experts to support training suggestions:</w:t>
            </w:r>
          </w:p>
        </w:tc>
        <w:tc>
          <w:tcPr>
            <w:tcW w:w="5716" w:type="dxa"/>
            <w:shd w:val="clear" w:color="auto" w:fill="CCC0D9" w:themeFill="accent4" w:themeFillTint="66"/>
            <w:tcMar/>
          </w:tcPr>
          <w:p w:rsidRPr="00994DA1" w:rsidR="00994DA1" w:rsidP="00994DA1" w:rsidRDefault="00994DA1" w14:paraId="2BC2E71B" w14:textId="2DE0C3A0">
            <w:pPr>
              <w:pStyle w:val="NoSpacing"/>
              <w:spacing w:line="276" w:lineRule="auto"/>
              <w:ind w:right="-23"/>
              <w:rPr>
                <w:b/>
                <w:bCs/>
              </w:rPr>
            </w:pPr>
            <w:r w:rsidRPr="00994DA1">
              <w:rPr>
                <w:b/>
                <w:bCs/>
              </w:rPr>
              <w:t>Research and Resources:</w:t>
            </w:r>
          </w:p>
        </w:tc>
      </w:tr>
      <w:tr w:rsidR="001F0811" w:rsidTr="07223E26" w14:paraId="7A5E8D74" w14:textId="77777777">
        <w:trPr>
          <w:trHeight w:val="2302"/>
        </w:trPr>
        <w:tc>
          <w:tcPr>
            <w:tcW w:w="5250" w:type="dxa"/>
            <w:tcMar/>
          </w:tcPr>
          <w:p w:rsidR="001F0811" w:rsidP="07223E26" w:rsidRDefault="001F0811" w14:paraId="431DE343" w14:textId="2C30B8A3">
            <w:pPr>
              <w:spacing w:line="276" w:lineRule="auto"/>
              <w:ind w:right="-23"/>
              <w:rPr>
                <w:rFonts w:ascii="Arial" w:hAnsi="Arial" w:eastAsia="Arial" w:cs="Arial"/>
                <w:b w:val="0"/>
                <w:bCs w:val="0"/>
                <w:i w:val="0"/>
                <w:iCs w:val="0"/>
                <w:caps w:val="0"/>
                <w:smallCaps w:val="0"/>
                <w:noProof w:val="0"/>
                <w:color w:val="000000" w:themeColor="text1" w:themeTint="FF" w:themeShade="FF"/>
                <w:sz w:val="22"/>
                <w:szCs w:val="22"/>
                <w:lang w:val="en-GB"/>
              </w:rPr>
            </w:pPr>
            <w:r w:rsidRPr="07223E26" w:rsidR="1BD586DC">
              <w:rPr>
                <w:rFonts w:ascii="Arial" w:hAnsi="Arial" w:eastAsia="Arial" w:cs="Arial"/>
                <w:b w:val="0"/>
                <w:bCs w:val="0"/>
                <w:i w:val="0"/>
                <w:iCs w:val="0"/>
                <w:caps w:val="0"/>
                <w:smallCaps w:val="0"/>
                <w:noProof w:val="0"/>
                <w:color w:val="000000" w:themeColor="text1" w:themeTint="FF" w:themeShade="FF"/>
                <w:sz w:val="22"/>
                <w:szCs w:val="22"/>
                <w:lang w:val="en-GB"/>
              </w:rPr>
              <w:t xml:space="preserve">Please ensure that trainees are </w:t>
            </w:r>
            <w:r w:rsidRPr="07223E26" w:rsidR="1BD586DC">
              <w:rPr>
                <w:rFonts w:ascii="Arial" w:hAnsi="Arial" w:eastAsia="Arial" w:cs="Arial"/>
                <w:b w:val="0"/>
                <w:bCs w:val="0"/>
                <w:i w:val="0"/>
                <w:iCs w:val="0"/>
                <w:caps w:val="0"/>
                <w:smallCaps w:val="0"/>
                <w:noProof w:val="0"/>
                <w:color w:val="000000" w:themeColor="text1" w:themeTint="FF" w:themeShade="FF"/>
                <w:sz w:val="22"/>
                <w:szCs w:val="22"/>
                <w:lang w:val="en-GB"/>
              </w:rPr>
              <w:t>observed</w:t>
            </w:r>
            <w:r w:rsidRPr="07223E26" w:rsidR="1BD586DC">
              <w:rPr>
                <w:rFonts w:ascii="Arial" w:hAnsi="Arial" w:eastAsia="Arial" w:cs="Arial"/>
                <w:b w:val="0"/>
                <w:bCs w:val="0"/>
                <w:i w:val="0"/>
                <w:iCs w:val="0"/>
                <w:caps w:val="0"/>
                <w:smallCaps w:val="0"/>
                <w:noProof w:val="0"/>
                <w:color w:val="000000" w:themeColor="text1" w:themeTint="FF" w:themeShade="FF"/>
                <w:sz w:val="22"/>
                <w:szCs w:val="22"/>
                <w:lang w:val="en-GB"/>
              </w:rPr>
              <w:t xml:space="preserve"> regularly each week, both informally and formally. Formal observations are intended to provide the trainee with subject specific feedback on the areas of learning. Discussing the observed lesson can form part of your weekly discussion meeting. Please remember that observations can take place during continuous provision and may be unplanned as this will enable you to </w:t>
            </w:r>
            <w:r w:rsidRPr="07223E26" w:rsidR="112C5948">
              <w:rPr>
                <w:rFonts w:ascii="Arial" w:hAnsi="Arial" w:eastAsia="Arial" w:cs="Arial"/>
                <w:b w:val="0"/>
                <w:bCs w:val="0"/>
                <w:i w:val="0"/>
                <w:iCs w:val="0"/>
                <w:caps w:val="0"/>
                <w:smallCaps w:val="0"/>
                <w:noProof w:val="0"/>
                <w:color w:val="000000" w:themeColor="text1" w:themeTint="FF" w:themeShade="FF"/>
                <w:sz w:val="22"/>
                <w:szCs w:val="22"/>
                <w:lang w:val="en-GB"/>
              </w:rPr>
              <w:t>support the trainee with their interactions.</w:t>
            </w:r>
          </w:p>
        </w:tc>
        <w:tc>
          <w:tcPr>
            <w:tcW w:w="5716" w:type="dxa"/>
            <w:tcMar/>
          </w:tcPr>
          <w:p w:rsidR="001F0811" w:rsidP="07223E26" w:rsidRDefault="001F0811" w14:paraId="06B194FA" w14:textId="0C04E3D4">
            <w:pPr>
              <w:pStyle w:val="NoSpacing"/>
              <w:spacing w:after="0" w:line="240" w:lineRule="auto"/>
              <w:ind w:right="567"/>
              <w:rPr>
                <w:rFonts w:ascii="Arial" w:hAnsi="Arial" w:eastAsia="Arial" w:cs="Arial"/>
                <w:b w:val="0"/>
                <w:bCs w:val="0"/>
                <w:i w:val="0"/>
                <w:iCs w:val="0"/>
                <w:caps w:val="0"/>
                <w:smallCaps w:val="0"/>
                <w:noProof w:val="0"/>
                <w:color w:val="000000" w:themeColor="text1" w:themeTint="FF" w:themeShade="FF"/>
                <w:sz w:val="22"/>
                <w:szCs w:val="22"/>
                <w:lang w:val="en-GB"/>
              </w:rPr>
            </w:pPr>
            <w:r w:rsidRPr="07223E26" w:rsidR="7519C079">
              <w:rPr>
                <w:rFonts w:ascii="Arial" w:hAnsi="Arial" w:eastAsia="Arial" w:cs="Arial"/>
                <w:b w:val="0"/>
                <w:bCs w:val="0"/>
                <w:i w:val="0"/>
                <w:iCs w:val="0"/>
                <w:caps w:val="0"/>
                <w:smallCaps w:val="0"/>
                <w:noProof w:val="0"/>
                <w:color w:val="000000" w:themeColor="text1" w:themeTint="FF" w:themeShade="FF"/>
                <w:sz w:val="22"/>
                <w:szCs w:val="22"/>
                <w:lang w:val="en-GB"/>
              </w:rPr>
              <w:t>DEPARTMENT FOR EDUCATON. 202</w:t>
            </w:r>
            <w:r w:rsidRPr="07223E26" w:rsidR="028EC8F4">
              <w:rPr>
                <w:rFonts w:ascii="Arial" w:hAnsi="Arial" w:eastAsia="Arial" w:cs="Arial"/>
                <w:b w:val="0"/>
                <w:bCs w:val="0"/>
                <w:i w:val="0"/>
                <w:iCs w:val="0"/>
                <w:caps w:val="0"/>
                <w:smallCaps w:val="0"/>
                <w:noProof w:val="0"/>
                <w:color w:val="000000" w:themeColor="text1" w:themeTint="FF" w:themeShade="FF"/>
                <w:sz w:val="22"/>
                <w:szCs w:val="22"/>
                <w:lang w:val="en-GB"/>
              </w:rPr>
              <w:t>4</w:t>
            </w:r>
            <w:r w:rsidRPr="07223E26" w:rsidR="7519C079">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7223E26" w:rsidR="7519C079">
              <w:rPr>
                <w:rFonts w:ascii="Arial" w:hAnsi="Arial" w:eastAsia="Arial" w:cs="Arial"/>
                <w:b w:val="0"/>
                <w:bCs w:val="0"/>
                <w:i w:val="1"/>
                <w:iCs w:val="1"/>
                <w:caps w:val="0"/>
                <w:smallCaps w:val="0"/>
                <w:noProof w:val="0"/>
                <w:color w:val="000000" w:themeColor="text1" w:themeTint="FF" w:themeShade="FF"/>
                <w:sz w:val="22"/>
                <w:szCs w:val="22"/>
                <w:lang w:val="en-GB"/>
              </w:rPr>
              <w:t xml:space="preserve">Statutory framework for the early </w:t>
            </w:r>
            <w:r w:rsidRPr="07223E26" w:rsidR="7519C079">
              <w:rPr>
                <w:rFonts w:ascii="Arial" w:hAnsi="Arial" w:eastAsia="Arial" w:cs="Arial"/>
                <w:b w:val="0"/>
                <w:bCs w:val="0"/>
                <w:i w:val="1"/>
                <w:iCs w:val="1"/>
                <w:caps w:val="0"/>
                <w:smallCaps w:val="0"/>
                <w:noProof w:val="0"/>
                <w:color w:val="000000" w:themeColor="text1" w:themeTint="FF" w:themeShade="FF"/>
                <w:sz w:val="22"/>
                <w:szCs w:val="22"/>
                <w:lang w:val="en-GB"/>
              </w:rPr>
              <w:t>years</w:t>
            </w:r>
            <w:r w:rsidRPr="07223E26" w:rsidR="7519C079">
              <w:rPr>
                <w:rFonts w:ascii="Arial" w:hAnsi="Arial" w:eastAsia="Arial" w:cs="Arial"/>
                <w:b w:val="0"/>
                <w:bCs w:val="0"/>
                <w:i w:val="1"/>
                <w:iCs w:val="1"/>
                <w:caps w:val="0"/>
                <w:smallCaps w:val="0"/>
                <w:noProof w:val="0"/>
                <w:color w:val="000000" w:themeColor="text1" w:themeTint="FF" w:themeShade="FF"/>
                <w:sz w:val="22"/>
                <w:szCs w:val="22"/>
                <w:lang w:val="en-GB"/>
              </w:rPr>
              <w:t xml:space="preserve"> foundation stage.</w:t>
            </w:r>
          </w:p>
          <w:p w:rsidR="001F0811" w:rsidP="07223E26" w:rsidRDefault="001F0811" w14:paraId="1286B3FD" w14:textId="0CADC84D">
            <w:pPr>
              <w:pStyle w:val="NoSpacing"/>
              <w:spacing w:after="0" w:line="240" w:lineRule="auto"/>
              <w:ind w:right="567"/>
              <w:rPr>
                <w:rFonts w:ascii="Arial" w:hAnsi="Arial" w:eastAsia="Arial" w:cs="Arial"/>
                <w:b w:val="0"/>
                <w:bCs w:val="0"/>
                <w:i w:val="0"/>
                <w:iCs w:val="0"/>
                <w:caps w:val="0"/>
                <w:smallCaps w:val="0"/>
                <w:noProof w:val="0"/>
                <w:color w:val="000000" w:themeColor="text1" w:themeTint="FF" w:themeShade="FF"/>
                <w:sz w:val="22"/>
                <w:szCs w:val="22"/>
                <w:lang w:val="en-GB"/>
              </w:rPr>
            </w:pPr>
            <w:r w:rsidRPr="07223E26" w:rsidR="7519C079">
              <w:rPr>
                <w:rFonts w:ascii="Arial" w:hAnsi="Arial" w:eastAsia="Arial" w:cs="Arial"/>
                <w:b w:val="0"/>
                <w:bCs w:val="0"/>
                <w:i w:val="0"/>
                <w:iCs w:val="0"/>
                <w:caps w:val="0"/>
                <w:smallCaps w:val="0"/>
                <w:noProof w:val="0"/>
                <w:color w:val="000000" w:themeColor="text1" w:themeTint="FF" w:themeShade="FF"/>
                <w:sz w:val="22"/>
                <w:szCs w:val="22"/>
                <w:lang w:val="en-GB"/>
              </w:rPr>
              <w:t>ALLEN, S., WHALLEY, ME., LEE, M. &amp; SCOLLAN, A. 2020.</w:t>
            </w:r>
            <w:r w:rsidRPr="07223E26" w:rsidR="7519C079">
              <w:rPr>
                <w:rFonts w:ascii="Arial" w:hAnsi="Arial" w:eastAsia="Arial" w:cs="Arial"/>
                <w:b w:val="0"/>
                <w:bCs w:val="0"/>
                <w:i w:val="1"/>
                <w:iCs w:val="1"/>
                <w:caps w:val="0"/>
                <w:smallCaps w:val="0"/>
                <w:noProof w:val="0"/>
                <w:color w:val="000000" w:themeColor="text1" w:themeTint="FF" w:themeShade="FF"/>
                <w:sz w:val="22"/>
                <w:szCs w:val="22"/>
                <w:lang w:val="en-GB"/>
              </w:rPr>
              <w:t xml:space="preserve"> Developing Professional Practice in the Early Years. </w:t>
            </w:r>
            <w:r w:rsidRPr="07223E26" w:rsidR="7519C079">
              <w:rPr>
                <w:rFonts w:ascii="Arial" w:hAnsi="Arial" w:eastAsia="Arial" w:cs="Arial"/>
                <w:b w:val="0"/>
                <w:bCs w:val="0"/>
                <w:i w:val="0"/>
                <w:iCs w:val="0"/>
                <w:caps w:val="0"/>
                <w:smallCaps w:val="0"/>
                <w:noProof w:val="0"/>
                <w:color w:val="000000" w:themeColor="text1" w:themeTint="FF" w:themeShade="FF"/>
                <w:sz w:val="22"/>
                <w:szCs w:val="22"/>
                <w:lang w:val="en-GB"/>
              </w:rPr>
              <w:t>OUP.</w:t>
            </w:r>
            <w:r w:rsidRPr="07223E26" w:rsidR="7519C079">
              <w:rPr>
                <w:rFonts w:ascii="Arial" w:hAnsi="Arial" w:eastAsia="Arial" w:cs="Arial"/>
                <w:b w:val="0"/>
                <w:bCs w:val="0"/>
                <w:i w:val="1"/>
                <w:iCs w:val="1"/>
                <w:caps w:val="0"/>
                <w:smallCaps w:val="0"/>
                <w:noProof w:val="0"/>
                <w:color w:val="000000" w:themeColor="text1" w:themeTint="FF" w:themeShade="FF"/>
                <w:sz w:val="22"/>
                <w:szCs w:val="22"/>
                <w:lang w:val="en-GB"/>
              </w:rPr>
              <w:t> </w:t>
            </w:r>
          </w:p>
          <w:p w:rsidR="001F0811" w:rsidP="00994DA1" w:rsidRDefault="001F0811" w14:paraId="6CA4690A" w14:textId="2FA8B6CD">
            <w:pPr>
              <w:pStyle w:val="NoSpacing"/>
              <w:spacing w:line="276" w:lineRule="auto"/>
              <w:ind w:right="-23"/>
            </w:pPr>
          </w:p>
        </w:tc>
      </w:tr>
      <w:tr w:rsidR="001F0811" w:rsidTr="07223E26" w14:paraId="43DBE0D1" w14:textId="77777777">
        <w:trPr>
          <w:trHeight w:val="407"/>
        </w:trPr>
        <w:tc>
          <w:tcPr>
            <w:tcW w:w="5250" w:type="dxa"/>
            <w:shd w:val="clear" w:color="auto" w:fill="CCC0D9" w:themeFill="accent4" w:themeFillTint="66"/>
            <w:tcMar/>
          </w:tcPr>
          <w:p w:rsidRPr="001F0811" w:rsidR="001F0811" w:rsidP="00994DA1" w:rsidRDefault="001F0811" w14:paraId="2DC427E2" w14:textId="413CB7E5">
            <w:pPr>
              <w:pStyle w:val="NoSpacing"/>
              <w:spacing w:line="276" w:lineRule="auto"/>
              <w:ind w:right="-23"/>
              <w:rPr>
                <w:b/>
                <w:bCs/>
              </w:rPr>
            </w:pPr>
            <w:r w:rsidRPr="001F0811">
              <w:rPr>
                <w:b/>
                <w:bCs/>
              </w:rPr>
              <w:t>Link Tutor:</w:t>
            </w:r>
          </w:p>
        </w:tc>
        <w:tc>
          <w:tcPr>
            <w:tcW w:w="5716" w:type="dxa"/>
            <w:shd w:val="clear" w:color="auto" w:fill="CCC0D9" w:themeFill="accent4" w:themeFillTint="66"/>
            <w:tcMar/>
          </w:tcPr>
          <w:p w:rsidRPr="001F0811" w:rsidR="001F0811" w:rsidP="00994DA1" w:rsidRDefault="001F0811" w14:paraId="593AE7CF" w14:textId="4062C825">
            <w:pPr>
              <w:pStyle w:val="NoSpacing"/>
              <w:spacing w:line="276" w:lineRule="auto"/>
              <w:ind w:right="-23"/>
              <w:rPr>
                <w:b/>
                <w:bCs/>
              </w:rPr>
            </w:pPr>
            <w:r w:rsidRPr="001F0811">
              <w:rPr>
                <w:b/>
                <w:bCs/>
              </w:rPr>
              <w:t>Trainee:</w:t>
            </w:r>
          </w:p>
        </w:tc>
      </w:tr>
      <w:tr w:rsidR="00994DA1" w:rsidTr="07223E26" w14:paraId="6A74EBCF" w14:textId="5AD0A030">
        <w:trPr>
          <w:trHeight w:val="2097"/>
        </w:trPr>
        <w:tc>
          <w:tcPr>
            <w:tcW w:w="5250" w:type="dxa"/>
            <w:tcMar/>
          </w:tcPr>
          <w:p w:rsidR="00994DA1" w:rsidP="00994DA1" w:rsidRDefault="00994DA1" w14:paraId="738FB08C" w14:textId="3EB07266">
            <w:pPr>
              <w:pStyle w:val="NoSpacing"/>
              <w:spacing w:line="276" w:lineRule="auto"/>
              <w:ind w:right="-23"/>
            </w:pPr>
            <w:r w:rsidR="17D630FE">
              <w:rPr/>
              <w:t xml:space="preserve">If you </w:t>
            </w:r>
            <w:r w:rsidR="17D630FE">
              <w:rPr/>
              <w:t>haven’t</w:t>
            </w:r>
            <w:r w:rsidR="17D630FE">
              <w:rPr/>
              <w:t xml:space="preserve"> already, please arrange QA2 and ensure trainees are making progress. </w:t>
            </w:r>
            <w:r w:rsidR="20785E63">
              <w:rPr/>
              <w:t xml:space="preserve">Please remind them to engage with their EYE3010 module </w:t>
            </w:r>
            <w:r w:rsidR="55048119">
              <w:rPr/>
              <w:t xml:space="preserve">and begin collating evidence for their scrapbooks. Finally, please contact me if </w:t>
            </w:r>
            <w:r w:rsidR="38971199">
              <w:rPr/>
              <w:t>you have any questions or if you have any concerns.</w:t>
            </w:r>
          </w:p>
        </w:tc>
        <w:tc>
          <w:tcPr>
            <w:tcW w:w="5716" w:type="dxa"/>
            <w:tcMar/>
          </w:tcPr>
          <w:p w:rsidR="00994DA1" w:rsidP="00994DA1" w:rsidRDefault="00994DA1" w14:paraId="109E3E50" w14:textId="5BDC47A2">
            <w:pPr>
              <w:pStyle w:val="NoSpacing"/>
              <w:spacing w:line="276" w:lineRule="auto"/>
              <w:ind w:right="-23"/>
            </w:pPr>
            <w:r w:rsidR="38971199">
              <w:rPr/>
              <w:t xml:space="preserve">Continue to develop positive relationships with children, </w:t>
            </w:r>
            <w:r w:rsidR="38971199">
              <w:rPr/>
              <w:t>parents</w:t>
            </w:r>
            <w:r w:rsidR="38971199">
              <w:rPr/>
              <w:t xml:space="preserve"> and other professionals in the school. </w:t>
            </w:r>
            <w:r w:rsidR="28FBE110">
              <w:rPr/>
              <w:t xml:space="preserve">Make yourself visible around school and engage in conversation as much as possible. If you </w:t>
            </w:r>
            <w:r w:rsidR="28FBE110">
              <w:rPr/>
              <w:t>haven’t</w:t>
            </w:r>
            <w:r w:rsidR="28FBE110">
              <w:rPr/>
              <w:t xml:space="preserve"> already, begin </w:t>
            </w:r>
            <w:r w:rsidR="05F88DB1">
              <w:rPr/>
              <w:t xml:space="preserve">engaging yourself in the wider school community by taking part in after school clubs and attending staff meetings. </w:t>
            </w:r>
          </w:p>
        </w:tc>
      </w:tr>
    </w:tbl>
    <w:p w:rsidR="00BB4ADE" w:rsidP="00994DA1" w:rsidRDefault="00BB4ADE" w14:paraId="763FC757" w14:textId="3A8E4CEE">
      <w:pPr>
        <w:pStyle w:val="NoSpacing"/>
        <w:spacing w:before="240"/>
        <w:ind w:right="-23"/>
      </w:pPr>
    </w:p>
    <w:sectPr w:rsidR="00BB4ADE" w:rsidSect="00994DA1">
      <w:pgSz w:w="11906" w:h="16838" w:orient="portrait"/>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c087d07"/>
    <w:multiLevelType xmlns:w="http://schemas.openxmlformats.org/wordprocessingml/2006/main" w:val="hybridMultilevel"/>
    <w:lvl xmlns:w="http://schemas.openxmlformats.org/wordprocessingml/2006/main" w:ilvl="0">
      <w:start w:val="1"/>
      <w:numFmt w:val="bullet"/>
      <w:lvlText w:val=""/>
      <w:lvlJc w:val="left"/>
      <w:pPr>
        <w:ind w:left="128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868225"/>
    <w:multiLevelType xmlns:w="http://schemas.openxmlformats.org/wordprocessingml/2006/main" w:val="hybridMultilevel"/>
    <w:lvl xmlns:w="http://schemas.openxmlformats.org/wordprocessingml/2006/main" w:ilvl="0">
      <w:start w:val="1"/>
      <w:numFmt w:val="bullet"/>
      <w:lvlText w:val=""/>
      <w:lvlJc w:val="left"/>
      <w:pPr>
        <w:ind w:left="128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142C"/>
    <w:rsid w:val="000F3143"/>
    <w:rsid w:val="001F0811"/>
    <w:rsid w:val="00456F38"/>
    <w:rsid w:val="00722685"/>
    <w:rsid w:val="0077142C"/>
    <w:rsid w:val="008A049B"/>
    <w:rsid w:val="00971F84"/>
    <w:rsid w:val="00994DA1"/>
    <w:rsid w:val="00BB4ADE"/>
    <w:rsid w:val="00CF75EE"/>
    <w:rsid w:val="00F21A43"/>
    <w:rsid w:val="023E9081"/>
    <w:rsid w:val="028EC8F4"/>
    <w:rsid w:val="05F88DB1"/>
    <w:rsid w:val="07223E26"/>
    <w:rsid w:val="09F6D252"/>
    <w:rsid w:val="0A0094EA"/>
    <w:rsid w:val="112C5948"/>
    <w:rsid w:val="17D630FE"/>
    <w:rsid w:val="1867B824"/>
    <w:rsid w:val="198F191E"/>
    <w:rsid w:val="1AEF36E6"/>
    <w:rsid w:val="1BD586DC"/>
    <w:rsid w:val="1DF38205"/>
    <w:rsid w:val="1E51467E"/>
    <w:rsid w:val="20785E63"/>
    <w:rsid w:val="2103B5EE"/>
    <w:rsid w:val="230B72E8"/>
    <w:rsid w:val="28A4972B"/>
    <w:rsid w:val="28FBE110"/>
    <w:rsid w:val="2DDB03DD"/>
    <w:rsid w:val="32542A27"/>
    <w:rsid w:val="3276FFE8"/>
    <w:rsid w:val="3779950A"/>
    <w:rsid w:val="38971199"/>
    <w:rsid w:val="3ABD7089"/>
    <w:rsid w:val="3BC8173D"/>
    <w:rsid w:val="3C2A5FFC"/>
    <w:rsid w:val="41A755E2"/>
    <w:rsid w:val="454EDB92"/>
    <w:rsid w:val="45692F75"/>
    <w:rsid w:val="4CCB0A08"/>
    <w:rsid w:val="55048119"/>
    <w:rsid w:val="5A8B3C00"/>
    <w:rsid w:val="5B95CDA8"/>
    <w:rsid w:val="5DDAFB1E"/>
    <w:rsid w:val="6044B47A"/>
    <w:rsid w:val="62D7CF69"/>
    <w:rsid w:val="63BFBAF9"/>
    <w:rsid w:val="665DF8EE"/>
    <w:rsid w:val="6D4AF4EB"/>
    <w:rsid w:val="7519C079"/>
    <w:rsid w:val="75316576"/>
    <w:rsid w:val="75316576"/>
    <w:rsid w:val="75C59BC2"/>
    <w:rsid w:val="7BBA5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142C"/>
    <w:rPr>
      <w:rFonts w:ascii="Arial" w:hAnsi="Arial"/>
      <w:kern w:val="2"/>
      <w:sz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uiPriority w:val="99"/>
    <w:name w:val="Hyperlink"/>
    <w:basedOn w:val="DefaultParagraphFont"/>
    <w:unhideWhenUsed/>
    <w:rsid w:val="07223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https://sites.edgehill.ac.uk/mentorspace/eyug3/" TargetMode="External" Id="Ra91e162ca522467b" /><Relationship Type="http://schemas.openxmlformats.org/officeDocument/2006/relationships/numbering" Target="numbering.xml" Id="R4dae67ccbd1d43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Bishop</dc:creator>
  <keywords/>
  <dc:description/>
  <lastModifiedBy>Jamie Allman</lastModifiedBy>
  <revision>4</revision>
  <dcterms:created xsi:type="dcterms:W3CDTF">2024-01-29T14:29:00.0000000Z</dcterms:created>
  <dcterms:modified xsi:type="dcterms:W3CDTF">2025-03-06T10:58:08.6362291Z</dcterms:modified>
</coreProperties>
</file>