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CC13" w14:textId="4006DEAF" w:rsidR="007D52EE" w:rsidRDefault="2D03E111" w:rsidP="3736F1D1">
      <w:pPr>
        <w:pStyle w:val="Title"/>
        <w:spacing w:after="0"/>
        <w:rPr>
          <w:rFonts w:ascii="Cambria" w:eastAsia="Cambria" w:hAnsi="Cambria" w:cs="Cambria"/>
        </w:rPr>
      </w:pPr>
      <w:r w:rsidRPr="3736F1D1">
        <w:rPr>
          <w:rFonts w:ascii="Cambria" w:eastAsia="Cambria" w:hAnsi="Cambria" w:cs="Cambria"/>
        </w:rPr>
        <w:t xml:space="preserve">Department of Primary &amp; Childhood Education </w:t>
      </w:r>
    </w:p>
    <w:p w14:paraId="7190C6B0" w14:textId="214EBC5C" w:rsidR="007D52EE" w:rsidRDefault="2D03E111" w:rsidP="3736F1D1">
      <w:pPr>
        <w:pStyle w:val="Title"/>
        <w:spacing w:after="0"/>
        <w:rPr>
          <w:rFonts w:ascii="Cambria" w:eastAsia="Cambria" w:hAnsi="Cambria" w:cs="Cambria"/>
        </w:rPr>
      </w:pPr>
      <w:r w:rsidRPr="3736F1D1">
        <w:rPr>
          <w:rFonts w:ascii="Cambria" w:eastAsia="Cambria" w:hAnsi="Cambria" w:cs="Cambria"/>
        </w:rPr>
        <w:t>Principles of Planning</w:t>
      </w:r>
    </w:p>
    <w:p w14:paraId="1E1B6231" w14:textId="7D00CE5E" w:rsidR="007D52EE" w:rsidRDefault="007D52EE" w:rsidP="3736F1D1">
      <w:pPr>
        <w:rPr>
          <w:rFonts w:ascii="Aptos" w:eastAsia="Aptos" w:hAnsi="Aptos" w:cs="Aptos"/>
        </w:rPr>
      </w:pPr>
    </w:p>
    <w:p w14:paraId="07CAD8E6" w14:textId="0ED520DF" w:rsidR="007D52EE" w:rsidRDefault="56229B1A" w:rsidP="3736F1D1">
      <w:pPr>
        <w:rPr>
          <w:rFonts w:ascii="Aptos" w:eastAsia="Aptos" w:hAnsi="Aptos" w:cs="Aptos"/>
          <w:b/>
          <w:bCs/>
          <w:sz w:val="32"/>
          <w:szCs w:val="32"/>
          <w:u w:val="single"/>
        </w:rPr>
      </w:pPr>
      <w:r w:rsidRPr="3736F1D1">
        <w:rPr>
          <w:rFonts w:ascii="Aptos" w:eastAsia="Aptos" w:hAnsi="Aptos" w:cs="Aptos"/>
          <w:b/>
          <w:bCs/>
          <w:sz w:val="32"/>
          <w:szCs w:val="32"/>
          <w:u w:val="single"/>
        </w:rPr>
        <w:t>Introduction</w:t>
      </w:r>
    </w:p>
    <w:p w14:paraId="514660B5" w14:textId="7CB7F801" w:rsidR="007D52EE" w:rsidRDefault="2D03E111" w:rsidP="5E3826E4">
      <w:pPr>
        <w:rPr>
          <w:rFonts w:ascii="Aptos" w:eastAsia="Aptos" w:hAnsi="Aptos" w:cs="Aptos"/>
        </w:rPr>
      </w:pPr>
      <w:r w:rsidRPr="5E3826E4">
        <w:rPr>
          <w:rFonts w:ascii="Aptos" w:eastAsia="Aptos" w:hAnsi="Aptos" w:cs="Aptos"/>
        </w:rPr>
        <w:t xml:space="preserve">This document outlines planning expectations for </w:t>
      </w:r>
      <w:r w:rsidR="04E1666C" w:rsidRPr="5E3826E4">
        <w:rPr>
          <w:rFonts w:ascii="Aptos" w:eastAsia="Aptos" w:hAnsi="Aptos" w:cs="Aptos"/>
        </w:rPr>
        <w:t xml:space="preserve">Edge Hill </w:t>
      </w:r>
      <w:r w:rsidRPr="5E3826E4">
        <w:rPr>
          <w:rFonts w:ascii="Aptos" w:eastAsia="Aptos" w:hAnsi="Aptos" w:cs="Aptos"/>
        </w:rPr>
        <w:t>ITE trainees across</w:t>
      </w:r>
      <w:r w:rsidR="286ED1AC" w:rsidRPr="5E3826E4">
        <w:rPr>
          <w:rFonts w:ascii="Aptos" w:eastAsia="Aptos" w:hAnsi="Aptos" w:cs="Aptos"/>
        </w:rPr>
        <w:t xml:space="preserve"> our</w:t>
      </w:r>
      <w:r w:rsidRPr="5E3826E4">
        <w:rPr>
          <w:rFonts w:ascii="Aptos" w:eastAsia="Aptos" w:hAnsi="Aptos" w:cs="Aptos"/>
        </w:rPr>
        <w:t xml:space="preserve"> three p</w:t>
      </w:r>
      <w:r w:rsidR="51B1A6E1" w:rsidRPr="5E3826E4">
        <w:rPr>
          <w:rFonts w:ascii="Aptos" w:eastAsia="Aptos" w:hAnsi="Aptos" w:cs="Aptos"/>
        </w:rPr>
        <w:t>rofessional</w:t>
      </w:r>
      <w:r w:rsidRPr="5E3826E4">
        <w:rPr>
          <w:rFonts w:ascii="Aptos" w:eastAsia="Aptos" w:hAnsi="Aptos" w:cs="Aptos"/>
        </w:rPr>
        <w:t xml:space="preserve"> phases. It is designed to support mentors in guiding trainees toward purposeful, learner-informed teaching. Edge Hill regards planning as a professional commitment to knowing the learners, sequencing learning effectively, and adapting pedagogy to context.</w:t>
      </w:r>
    </w:p>
    <w:p w14:paraId="3BD7056A" w14:textId="4B14D095" w:rsidR="007D52EE" w:rsidRDefault="2E7DF33C" w:rsidP="3736F1D1">
      <w:pPr>
        <w:spacing w:after="240"/>
        <w:rPr>
          <w:rFonts w:ascii="Aptos" w:eastAsia="Aptos" w:hAnsi="Aptos" w:cs="Aptos"/>
        </w:rPr>
      </w:pPr>
      <w:r w:rsidRPr="3736F1D1">
        <w:rPr>
          <w:rFonts w:ascii="Aptos" w:eastAsia="Aptos" w:hAnsi="Aptos" w:cs="Aptos"/>
        </w:rPr>
        <w:t>W</w:t>
      </w:r>
      <w:r w:rsidR="2D03E111" w:rsidRPr="3736F1D1">
        <w:rPr>
          <w:rFonts w:ascii="Aptos" w:eastAsia="Aptos" w:hAnsi="Aptos" w:cs="Aptos"/>
        </w:rPr>
        <w:t>e require lesson planning not as a formality, but as evidence that trainees:</w:t>
      </w:r>
    </w:p>
    <w:p w14:paraId="7E52055F" w14:textId="3A275C41" w:rsidR="007D52EE" w:rsidRDefault="2D03E111" w:rsidP="3736F1D1">
      <w:pPr>
        <w:pStyle w:val="ListParagraph"/>
        <w:numPr>
          <w:ilvl w:val="0"/>
          <w:numId w:val="6"/>
        </w:numPr>
        <w:spacing w:after="0"/>
        <w:rPr>
          <w:rFonts w:ascii="Aptos" w:eastAsia="Aptos" w:hAnsi="Aptos" w:cs="Aptos"/>
        </w:rPr>
      </w:pPr>
      <w:r w:rsidRPr="3736F1D1">
        <w:rPr>
          <w:rFonts w:ascii="Aptos" w:eastAsia="Aptos" w:hAnsi="Aptos" w:cs="Aptos"/>
        </w:rPr>
        <w:t>Understand the learners they are teaching</w:t>
      </w:r>
    </w:p>
    <w:p w14:paraId="2C3D3047" w14:textId="2CD0FB1D" w:rsidR="007D52EE" w:rsidRDefault="2D03E111" w:rsidP="3736F1D1">
      <w:pPr>
        <w:pStyle w:val="ListParagraph"/>
        <w:numPr>
          <w:ilvl w:val="0"/>
          <w:numId w:val="6"/>
        </w:numPr>
        <w:spacing w:after="0"/>
        <w:rPr>
          <w:rFonts w:ascii="Aptos" w:eastAsia="Aptos" w:hAnsi="Aptos" w:cs="Aptos"/>
        </w:rPr>
      </w:pPr>
      <w:r w:rsidRPr="3736F1D1">
        <w:rPr>
          <w:rFonts w:ascii="Aptos" w:eastAsia="Aptos" w:hAnsi="Aptos" w:cs="Aptos"/>
        </w:rPr>
        <w:t>Can articulate clear learning intentions and outcomes</w:t>
      </w:r>
    </w:p>
    <w:p w14:paraId="4F5F1EE9" w14:textId="0B916465" w:rsidR="007D52EE" w:rsidRDefault="2D03E111" w:rsidP="3736F1D1">
      <w:pPr>
        <w:pStyle w:val="ListParagraph"/>
        <w:numPr>
          <w:ilvl w:val="0"/>
          <w:numId w:val="6"/>
        </w:numPr>
        <w:spacing w:after="0"/>
        <w:rPr>
          <w:rFonts w:ascii="Aptos" w:eastAsia="Aptos" w:hAnsi="Aptos" w:cs="Aptos"/>
        </w:rPr>
      </w:pPr>
      <w:proofErr w:type="gramStart"/>
      <w:r w:rsidRPr="3736F1D1">
        <w:rPr>
          <w:rFonts w:ascii="Aptos" w:eastAsia="Aptos" w:hAnsi="Aptos" w:cs="Aptos"/>
        </w:rPr>
        <w:t>Are able to</w:t>
      </w:r>
      <w:proofErr w:type="gramEnd"/>
      <w:r w:rsidRPr="3736F1D1">
        <w:rPr>
          <w:rFonts w:ascii="Aptos" w:eastAsia="Aptos" w:hAnsi="Aptos" w:cs="Aptos"/>
        </w:rPr>
        <w:t xml:space="preserve"> adapt teaching to promote progress</w:t>
      </w:r>
    </w:p>
    <w:p w14:paraId="6AA4E5C9" w14:textId="55F364FF" w:rsidR="007D52EE" w:rsidRDefault="2D03E111" w:rsidP="3736F1D1">
      <w:pPr>
        <w:pStyle w:val="ListParagraph"/>
        <w:numPr>
          <w:ilvl w:val="0"/>
          <w:numId w:val="6"/>
        </w:numPr>
        <w:spacing w:after="0"/>
        <w:rPr>
          <w:rFonts w:ascii="Aptos" w:eastAsia="Aptos" w:hAnsi="Aptos" w:cs="Aptos"/>
        </w:rPr>
      </w:pPr>
      <w:r w:rsidRPr="3736F1D1">
        <w:rPr>
          <w:rFonts w:ascii="Aptos" w:eastAsia="Aptos" w:hAnsi="Aptos" w:cs="Aptos"/>
        </w:rPr>
        <w:t>Are developing autonomy in sequencing and evaluating learning</w:t>
      </w:r>
    </w:p>
    <w:p w14:paraId="6C698CE7" w14:textId="195ACE16" w:rsidR="007D52EE" w:rsidRDefault="2D03E111" w:rsidP="3736F1D1">
      <w:pPr>
        <w:pStyle w:val="ListParagraph"/>
        <w:numPr>
          <w:ilvl w:val="0"/>
          <w:numId w:val="6"/>
        </w:numPr>
        <w:spacing w:after="0"/>
        <w:rPr>
          <w:rFonts w:ascii="Aptos" w:eastAsia="Aptos" w:hAnsi="Aptos" w:cs="Aptos"/>
        </w:rPr>
      </w:pPr>
      <w:r w:rsidRPr="3736F1D1">
        <w:rPr>
          <w:rFonts w:ascii="Aptos" w:eastAsia="Aptos" w:hAnsi="Aptos" w:cs="Aptos"/>
        </w:rPr>
        <w:t>Are accountable for inclusive, responsive pedagogy</w:t>
      </w:r>
    </w:p>
    <w:p w14:paraId="1EFD03AD" w14:textId="7037CAFA" w:rsidR="007D52EE" w:rsidRDefault="007D52EE" w:rsidP="3736F1D1">
      <w:pPr>
        <w:rPr>
          <w:rFonts w:ascii="Aptos" w:eastAsia="Aptos" w:hAnsi="Aptos" w:cs="Aptos"/>
        </w:rPr>
      </w:pPr>
    </w:p>
    <w:p w14:paraId="61591367" w14:textId="696E90D3" w:rsidR="007D52EE" w:rsidRDefault="0074783F" w:rsidP="3736F1D1">
      <w:pPr>
        <w:rPr>
          <w:rFonts w:ascii="Aptos" w:eastAsia="Aptos" w:hAnsi="Aptos" w:cs="Aptos"/>
        </w:rPr>
      </w:pPr>
      <w:r w:rsidRPr="3736F1D1">
        <w:rPr>
          <w:rFonts w:ascii="Aptos" w:eastAsia="Aptos" w:hAnsi="Aptos" w:cs="Aptos"/>
        </w:rPr>
        <w:t xml:space="preserve">While we recognise and respect that experienced teachers often develop their own planning styles, shaped by subject expertise, teaching context, and personal preferences, it is essential that all trainees use the designated planning format provided by our programme. This ensures consistency across professional practices and supports mentors in offering focused, developmental feedback. </w:t>
      </w:r>
    </w:p>
    <w:p w14:paraId="5D85A490" w14:textId="18C18B50" w:rsidR="007D52EE" w:rsidRDefault="0074783F" w:rsidP="3736F1D1">
      <w:r w:rsidRPr="3736F1D1">
        <w:rPr>
          <w:rFonts w:ascii="Aptos" w:eastAsia="Aptos" w:hAnsi="Aptos" w:cs="Aptos"/>
        </w:rPr>
        <w:t xml:space="preserve">Crucially, it means that when a trainee transitions between professional practices, any mentor can be confident that the trainee is familiar with a shared planning structure, rather than arriving with one of many potential formats. </w:t>
      </w:r>
    </w:p>
    <w:p w14:paraId="2CEADA36" w14:textId="15B9804F" w:rsidR="007D52EE" w:rsidRDefault="0074783F" w:rsidP="3736F1D1">
      <w:r w:rsidRPr="3736F1D1">
        <w:rPr>
          <w:rFonts w:ascii="Aptos" w:eastAsia="Aptos" w:hAnsi="Aptos" w:cs="Aptos"/>
        </w:rPr>
        <w:t>Our approach is not designed to limit professional autonomy, but to scaffold reflective practice and ensure that planning remains purposeful, inclusive, and aligned with curriculum intent and learner needs across training phases.</w:t>
      </w:r>
    </w:p>
    <w:p w14:paraId="59F8EA59" w14:textId="196CACCC" w:rsidR="007D52EE" w:rsidRDefault="2D03E111" w:rsidP="5E3826E4">
      <w:pPr>
        <w:rPr>
          <w:rFonts w:ascii="Aptos" w:eastAsia="Aptos" w:hAnsi="Aptos" w:cs="Aptos"/>
        </w:rPr>
      </w:pPr>
      <w:r w:rsidRPr="5E3826E4">
        <w:rPr>
          <w:rFonts w:ascii="Aptos" w:eastAsia="Aptos" w:hAnsi="Aptos" w:cs="Aptos"/>
        </w:rPr>
        <w:t>To this end, there are clear expectations for planning across the three Professional Practice phases: Introductory, Developmental and Consolidation</w:t>
      </w:r>
      <w:r w:rsidR="73186FFC" w:rsidRPr="5E3826E4">
        <w:rPr>
          <w:rFonts w:ascii="Aptos" w:eastAsia="Aptos" w:hAnsi="Aptos" w:cs="Aptos"/>
        </w:rPr>
        <w:t>.</w:t>
      </w:r>
    </w:p>
    <w:p w14:paraId="045CF88E" w14:textId="1BB00AB1" w:rsidR="09967FB2" w:rsidRDefault="09967FB2" w:rsidP="09967FB2">
      <w:pPr>
        <w:rPr>
          <w:rFonts w:ascii="Aptos" w:eastAsia="Aptos" w:hAnsi="Aptos" w:cs="Aptos"/>
        </w:rPr>
      </w:pPr>
    </w:p>
    <w:p w14:paraId="7213BFD1" w14:textId="0597AA6C" w:rsidR="007D52EE" w:rsidRDefault="007D52EE" w:rsidP="3736F1D1">
      <w:pPr>
        <w:rPr>
          <w:rFonts w:ascii="Aptos" w:eastAsia="Aptos" w:hAnsi="Aptos" w:cs="Aptos"/>
        </w:rPr>
      </w:pPr>
    </w:p>
    <w:p w14:paraId="04F0F683" w14:textId="0FC1EC95" w:rsidR="007D52EE" w:rsidRDefault="007D52EE" w:rsidP="3736F1D1">
      <w:pPr>
        <w:rPr>
          <w:rFonts w:ascii="Aptos" w:eastAsia="Aptos" w:hAnsi="Aptos" w:cs="Aptos"/>
        </w:rPr>
      </w:pPr>
    </w:p>
    <w:p w14:paraId="23B70CC7" w14:textId="579D6A35" w:rsidR="007D52EE" w:rsidRDefault="007D52EE" w:rsidP="3736F1D1">
      <w:pPr>
        <w:rPr>
          <w:rFonts w:ascii="Aptos" w:eastAsia="Aptos" w:hAnsi="Aptos" w:cs="Aptos"/>
        </w:rPr>
      </w:pPr>
    </w:p>
    <w:p w14:paraId="00A14AD6" w14:textId="77827391" w:rsidR="007D52EE" w:rsidRDefault="007D52EE" w:rsidP="3736F1D1">
      <w:pPr>
        <w:rPr>
          <w:rFonts w:ascii="Aptos" w:eastAsia="Aptos" w:hAnsi="Aptos" w:cs="Aptos"/>
        </w:rPr>
      </w:pPr>
    </w:p>
    <w:tbl>
      <w:tblPr>
        <w:tblStyle w:val="TableGrid"/>
        <w:tblW w:w="0" w:type="auto"/>
        <w:tblInd w:w="-9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45"/>
        <w:gridCol w:w="2010"/>
        <w:gridCol w:w="3360"/>
        <w:gridCol w:w="3300"/>
      </w:tblGrid>
      <w:tr w:rsidR="3736F1D1" w14:paraId="60F20C22" w14:textId="77777777" w:rsidTr="3736F1D1">
        <w:trPr>
          <w:trHeight w:val="300"/>
        </w:trPr>
        <w:tc>
          <w:tcPr>
            <w:tcW w:w="2145" w:type="dxa"/>
            <w:tcBorders>
              <w:top w:val="single" w:sz="12" w:space="0" w:color="000000" w:themeColor="text1"/>
              <w:left w:val="single" w:sz="12" w:space="0" w:color="000000" w:themeColor="text1"/>
            </w:tcBorders>
            <w:shd w:val="clear" w:color="auto" w:fill="95DCF7" w:themeFill="accent4" w:themeFillTint="66"/>
            <w:tcMar>
              <w:left w:w="105" w:type="dxa"/>
              <w:right w:w="105" w:type="dxa"/>
            </w:tcMar>
          </w:tcPr>
          <w:p w14:paraId="30F726D3" w14:textId="3D26D0F5" w:rsidR="3736F1D1" w:rsidRDefault="3736F1D1" w:rsidP="3736F1D1">
            <w:pPr>
              <w:rPr>
                <w:rFonts w:ascii="Aptos" w:eastAsia="Aptos" w:hAnsi="Aptos" w:cs="Aptos"/>
              </w:rPr>
            </w:pPr>
            <w:r w:rsidRPr="3736F1D1">
              <w:rPr>
                <w:rFonts w:ascii="Aptos" w:eastAsia="Aptos" w:hAnsi="Aptos" w:cs="Aptos"/>
                <w:b/>
                <w:bCs/>
              </w:rPr>
              <w:t>Placement Phase</w:t>
            </w:r>
          </w:p>
        </w:tc>
        <w:tc>
          <w:tcPr>
            <w:tcW w:w="2010" w:type="dxa"/>
            <w:tcBorders>
              <w:top w:val="single" w:sz="12" w:space="0" w:color="000000" w:themeColor="text1"/>
            </w:tcBorders>
            <w:shd w:val="clear" w:color="auto" w:fill="95DCF7" w:themeFill="accent4" w:themeFillTint="66"/>
            <w:tcMar>
              <w:left w:w="105" w:type="dxa"/>
              <w:right w:w="105" w:type="dxa"/>
            </w:tcMar>
          </w:tcPr>
          <w:p w14:paraId="32C923EA" w14:textId="756D8481" w:rsidR="23B93569" w:rsidRDefault="23B93569" w:rsidP="3736F1D1">
            <w:pPr>
              <w:rPr>
                <w:rFonts w:ascii="Aptos" w:eastAsia="Aptos" w:hAnsi="Aptos" w:cs="Aptos"/>
                <w:b/>
                <w:bCs/>
              </w:rPr>
            </w:pPr>
            <w:r w:rsidRPr="3736F1D1">
              <w:rPr>
                <w:rFonts w:ascii="Aptos" w:eastAsia="Aptos" w:hAnsi="Aptos" w:cs="Aptos"/>
                <w:b/>
                <w:bCs/>
              </w:rPr>
              <w:t xml:space="preserve">Trainee </w:t>
            </w:r>
            <w:r w:rsidR="3736F1D1" w:rsidRPr="3736F1D1">
              <w:rPr>
                <w:rFonts w:ascii="Aptos" w:eastAsia="Aptos" w:hAnsi="Aptos" w:cs="Aptos"/>
                <w:b/>
                <w:bCs/>
              </w:rPr>
              <w:t>Planning Requirement</w:t>
            </w:r>
          </w:p>
        </w:tc>
        <w:tc>
          <w:tcPr>
            <w:tcW w:w="3360" w:type="dxa"/>
            <w:tcBorders>
              <w:top w:val="single" w:sz="12" w:space="0" w:color="000000" w:themeColor="text1"/>
            </w:tcBorders>
            <w:shd w:val="clear" w:color="auto" w:fill="95DCF7" w:themeFill="accent4" w:themeFillTint="66"/>
            <w:tcMar>
              <w:left w:w="105" w:type="dxa"/>
              <w:right w:w="105" w:type="dxa"/>
            </w:tcMar>
          </w:tcPr>
          <w:p w14:paraId="1AE16262" w14:textId="0F6E0072" w:rsidR="3736F1D1" w:rsidRDefault="3736F1D1" w:rsidP="3736F1D1">
            <w:pPr>
              <w:rPr>
                <w:rFonts w:ascii="Aptos" w:eastAsia="Aptos" w:hAnsi="Aptos" w:cs="Aptos"/>
              </w:rPr>
            </w:pPr>
            <w:r w:rsidRPr="3736F1D1">
              <w:rPr>
                <w:rFonts w:ascii="Aptos" w:eastAsia="Aptos" w:hAnsi="Aptos" w:cs="Aptos"/>
                <w:b/>
                <w:bCs/>
              </w:rPr>
              <w:t>Focus</w:t>
            </w:r>
          </w:p>
        </w:tc>
        <w:tc>
          <w:tcPr>
            <w:tcW w:w="3300" w:type="dxa"/>
            <w:tcBorders>
              <w:top w:val="single" w:sz="12" w:space="0" w:color="000000" w:themeColor="text1"/>
              <w:right w:val="single" w:sz="12" w:space="0" w:color="000000" w:themeColor="text1"/>
            </w:tcBorders>
            <w:shd w:val="clear" w:color="auto" w:fill="95DCF7" w:themeFill="accent4" w:themeFillTint="66"/>
            <w:tcMar>
              <w:left w:w="105" w:type="dxa"/>
              <w:right w:w="105" w:type="dxa"/>
            </w:tcMar>
          </w:tcPr>
          <w:p w14:paraId="3AABF697" w14:textId="208CEBB7" w:rsidR="3736F1D1" w:rsidRDefault="3736F1D1" w:rsidP="3736F1D1">
            <w:pPr>
              <w:rPr>
                <w:rFonts w:ascii="Aptos" w:eastAsia="Aptos" w:hAnsi="Aptos" w:cs="Aptos"/>
              </w:rPr>
            </w:pPr>
            <w:r w:rsidRPr="3736F1D1">
              <w:rPr>
                <w:rFonts w:ascii="Aptos" w:eastAsia="Aptos" w:hAnsi="Aptos" w:cs="Aptos"/>
                <w:b/>
                <w:bCs/>
              </w:rPr>
              <w:t>Mentor Role</w:t>
            </w:r>
          </w:p>
        </w:tc>
      </w:tr>
      <w:tr w:rsidR="3736F1D1" w14:paraId="6C6A1881" w14:textId="77777777" w:rsidTr="3736F1D1">
        <w:trPr>
          <w:trHeight w:val="300"/>
        </w:trPr>
        <w:tc>
          <w:tcPr>
            <w:tcW w:w="2145" w:type="dxa"/>
            <w:tcBorders>
              <w:left w:val="single" w:sz="12" w:space="0" w:color="000000" w:themeColor="text1"/>
            </w:tcBorders>
            <w:shd w:val="clear" w:color="auto" w:fill="D9F2D0" w:themeFill="accent6" w:themeFillTint="33"/>
            <w:tcMar>
              <w:left w:w="105" w:type="dxa"/>
              <w:right w:w="105" w:type="dxa"/>
            </w:tcMar>
          </w:tcPr>
          <w:p w14:paraId="651AE38E" w14:textId="38353608" w:rsidR="3736F1D1" w:rsidRDefault="3736F1D1" w:rsidP="3736F1D1">
            <w:pPr>
              <w:rPr>
                <w:rFonts w:ascii="Aptos" w:eastAsia="Aptos" w:hAnsi="Aptos" w:cs="Aptos"/>
              </w:rPr>
            </w:pPr>
            <w:r w:rsidRPr="3736F1D1">
              <w:rPr>
                <w:rFonts w:ascii="Aptos" w:eastAsia="Aptos" w:hAnsi="Aptos" w:cs="Aptos"/>
              </w:rPr>
              <w:t>Introductory</w:t>
            </w:r>
          </w:p>
        </w:tc>
        <w:tc>
          <w:tcPr>
            <w:tcW w:w="2010" w:type="dxa"/>
            <w:tcMar>
              <w:left w:w="105" w:type="dxa"/>
              <w:right w:w="105" w:type="dxa"/>
            </w:tcMar>
          </w:tcPr>
          <w:p w14:paraId="5CCE562B" w14:textId="1955742D" w:rsidR="3736F1D1" w:rsidRDefault="3736F1D1" w:rsidP="3736F1D1">
            <w:pPr>
              <w:rPr>
                <w:rFonts w:ascii="Aptos" w:eastAsia="Aptos" w:hAnsi="Aptos" w:cs="Aptos"/>
              </w:rPr>
            </w:pPr>
            <w:r w:rsidRPr="3736F1D1">
              <w:rPr>
                <w:rFonts w:ascii="Aptos" w:eastAsia="Aptos" w:hAnsi="Aptos" w:cs="Aptos"/>
              </w:rPr>
              <w:t>Full lesson plan using the Edge Hill planning document</w:t>
            </w:r>
            <w:r w:rsidR="531AFBD1" w:rsidRPr="3736F1D1">
              <w:rPr>
                <w:rFonts w:ascii="Aptos" w:eastAsia="Aptos" w:hAnsi="Aptos" w:cs="Aptos"/>
              </w:rPr>
              <w:t xml:space="preserve"> for every taught lesson</w:t>
            </w:r>
            <w:r w:rsidRPr="3736F1D1">
              <w:rPr>
                <w:rFonts w:ascii="Aptos" w:eastAsia="Aptos" w:hAnsi="Aptos" w:cs="Aptos"/>
              </w:rPr>
              <w:t xml:space="preserve">. </w:t>
            </w:r>
          </w:p>
        </w:tc>
        <w:tc>
          <w:tcPr>
            <w:tcW w:w="3360" w:type="dxa"/>
            <w:tcMar>
              <w:left w:w="105" w:type="dxa"/>
              <w:right w:w="105" w:type="dxa"/>
            </w:tcMar>
          </w:tcPr>
          <w:p w14:paraId="76236739" w14:textId="083A7EEA" w:rsidR="3736F1D1" w:rsidRDefault="3736F1D1" w:rsidP="3736F1D1">
            <w:pPr>
              <w:rPr>
                <w:rFonts w:ascii="Aptos" w:eastAsia="Aptos" w:hAnsi="Aptos" w:cs="Aptos"/>
              </w:rPr>
            </w:pPr>
            <w:r w:rsidRPr="3736F1D1">
              <w:rPr>
                <w:rFonts w:ascii="Aptos" w:eastAsia="Aptos" w:hAnsi="Aptos" w:cs="Aptos"/>
              </w:rPr>
              <w:t>Trainees must demonstrate detailed planning that includes learning outcomes, success criteria, adaptive teaching, and formative assessment.</w:t>
            </w:r>
          </w:p>
          <w:p w14:paraId="39422934" w14:textId="0D69FFA9" w:rsidR="3736F1D1" w:rsidRDefault="3736F1D1" w:rsidP="3736F1D1">
            <w:pPr>
              <w:rPr>
                <w:rFonts w:ascii="Aptos" w:eastAsia="Aptos" w:hAnsi="Aptos" w:cs="Aptos"/>
              </w:rPr>
            </w:pPr>
          </w:p>
          <w:p w14:paraId="4A784AAE" w14:textId="3C1746F3" w:rsidR="461CC827" w:rsidRDefault="461CC827" w:rsidP="3736F1D1">
            <w:pPr>
              <w:rPr>
                <w:rFonts w:ascii="Aptos" w:eastAsia="Aptos" w:hAnsi="Aptos" w:cs="Aptos"/>
              </w:rPr>
            </w:pPr>
            <w:r w:rsidRPr="3736F1D1">
              <w:rPr>
                <w:rFonts w:ascii="Aptos" w:eastAsia="Aptos" w:hAnsi="Aptos" w:cs="Aptos"/>
                <w:b/>
                <w:bCs/>
              </w:rPr>
              <w:t xml:space="preserve">By the end of Professional Practice: </w:t>
            </w:r>
            <w:r w:rsidR="3736F1D1" w:rsidRPr="3736F1D1">
              <w:rPr>
                <w:rFonts w:ascii="Aptos" w:eastAsia="Aptos" w:hAnsi="Aptos" w:cs="Aptos"/>
                <w:b/>
                <w:bCs/>
              </w:rPr>
              <w:t>Trainees should demonstrate an awareness of the needs of the class as a whole and seating groups.</w:t>
            </w:r>
          </w:p>
        </w:tc>
        <w:tc>
          <w:tcPr>
            <w:tcW w:w="3300" w:type="dxa"/>
            <w:tcBorders>
              <w:right w:val="single" w:sz="12" w:space="0" w:color="000000" w:themeColor="text1"/>
            </w:tcBorders>
            <w:tcMar>
              <w:left w:w="105" w:type="dxa"/>
              <w:right w:w="105" w:type="dxa"/>
            </w:tcMar>
          </w:tcPr>
          <w:p w14:paraId="770FE2C4" w14:textId="199453A2" w:rsidR="3736F1D1" w:rsidRDefault="3736F1D1" w:rsidP="3736F1D1">
            <w:pPr>
              <w:rPr>
                <w:rFonts w:ascii="Aptos" w:eastAsia="Aptos" w:hAnsi="Aptos" w:cs="Aptos"/>
              </w:rPr>
            </w:pPr>
            <w:r w:rsidRPr="3736F1D1">
              <w:rPr>
                <w:rFonts w:ascii="Aptos" w:eastAsia="Aptos" w:hAnsi="Aptos" w:cs="Aptos"/>
              </w:rPr>
              <w:t xml:space="preserve">Review and provide feedback on each plan. </w:t>
            </w:r>
          </w:p>
          <w:p w14:paraId="5B9915CA" w14:textId="0F567DA7" w:rsidR="3736F1D1" w:rsidRDefault="3736F1D1" w:rsidP="3736F1D1">
            <w:pPr>
              <w:rPr>
                <w:rFonts w:ascii="Aptos" w:eastAsia="Aptos" w:hAnsi="Aptos" w:cs="Aptos"/>
              </w:rPr>
            </w:pPr>
          </w:p>
          <w:p w14:paraId="46103D50" w14:textId="0E85B522" w:rsidR="3736F1D1" w:rsidRDefault="3736F1D1" w:rsidP="3736F1D1">
            <w:pPr>
              <w:rPr>
                <w:rFonts w:ascii="Aptos" w:eastAsia="Aptos" w:hAnsi="Aptos" w:cs="Aptos"/>
              </w:rPr>
            </w:pPr>
            <w:r w:rsidRPr="3736F1D1">
              <w:rPr>
                <w:rFonts w:ascii="Aptos" w:eastAsia="Aptos" w:hAnsi="Aptos" w:cs="Aptos"/>
              </w:rPr>
              <w:t>Ensure trainees understand the class context and are planning with learner needs in mind.</w:t>
            </w:r>
          </w:p>
        </w:tc>
      </w:tr>
      <w:tr w:rsidR="3736F1D1" w14:paraId="1A063570" w14:textId="77777777" w:rsidTr="3736F1D1">
        <w:trPr>
          <w:trHeight w:val="300"/>
        </w:trPr>
        <w:tc>
          <w:tcPr>
            <w:tcW w:w="2145" w:type="dxa"/>
            <w:tcBorders>
              <w:left w:val="single" w:sz="12" w:space="0" w:color="000000" w:themeColor="text1"/>
            </w:tcBorders>
            <w:shd w:val="clear" w:color="auto" w:fill="FAE2D5" w:themeFill="accent2" w:themeFillTint="33"/>
            <w:tcMar>
              <w:left w:w="105" w:type="dxa"/>
              <w:right w:w="105" w:type="dxa"/>
            </w:tcMar>
          </w:tcPr>
          <w:p w14:paraId="777B9C2A" w14:textId="487CD74D" w:rsidR="3736F1D1" w:rsidRDefault="3736F1D1" w:rsidP="3736F1D1">
            <w:pPr>
              <w:rPr>
                <w:rFonts w:ascii="Aptos" w:eastAsia="Aptos" w:hAnsi="Aptos" w:cs="Aptos"/>
              </w:rPr>
            </w:pPr>
            <w:r w:rsidRPr="3736F1D1">
              <w:rPr>
                <w:rFonts w:ascii="Aptos" w:eastAsia="Aptos" w:hAnsi="Aptos" w:cs="Aptos"/>
              </w:rPr>
              <w:t>Developmental</w:t>
            </w:r>
          </w:p>
        </w:tc>
        <w:tc>
          <w:tcPr>
            <w:tcW w:w="2010" w:type="dxa"/>
            <w:tcMar>
              <w:left w:w="105" w:type="dxa"/>
              <w:right w:w="105" w:type="dxa"/>
            </w:tcMar>
          </w:tcPr>
          <w:p w14:paraId="4E4DA474" w14:textId="31DCA6DE" w:rsidR="3736F1D1" w:rsidRDefault="3736F1D1" w:rsidP="3736F1D1">
            <w:pPr>
              <w:rPr>
                <w:rFonts w:ascii="Aptos" w:eastAsia="Aptos" w:hAnsi="Aptos" w:cs="Aptos"/>
              </w:rPr>
            </w:pPr>
            <w:r w:rsidRPr="3736F1D1">
              <w:rPr>
                <w:rFonts w:ascii="Aptos" w:eastAsia="Aptos" w:hAnsi="Aptos" w:cs="Aptos"/>
              </w:rPr>
              <w:t>A minimum of one individual lesson plan per week for observed lessons.</w:t>
            </w:r>
          </w:p>
          <w:p w14:paraId="3CD7AF39" w14:textId="79B1B7D6" w:rsidR="3736F1D1" w:rsidRDefault="3736F1D1" w:rsidP="3736F1D1">
            <w:pPr>
              <w:rPr>
                <w:rFonts w:ascii="Aptos" w:eastAsia="Aptos" w:hAnsi="Aptos" w:cs="Aptos"/>
              </w:rPr>
            </w:pPr>
          </w:p>
          <w:p w14:paraId="55948200" w14:textId="5CD2F557" w:rsidR="3736F1D1" w:rsidRDefault="3736F1D1" w:rsidP="3736F1D1">
            <w:pPr>
              <w:rPr>
                <w:rFonts w:ascii="Aptos" w:eastAsia="Aptos" w:hAnsi="Aptos" w:cs="Aptos"/>
              </w:rPr>
            </w:pPr>
            <w:r w:rsidRPr="3736F1D1">
              <w:rPr>
                <w:rFonts w:ascii="Aptos" w:eastAsia="Aptos" w:hAnsi="Aptos" w:cs="Aptos"/>
              </w:rPr>
              <w:t xml:space="preserve">Sequence plans for sequences of three lessons or more. </w:t>
            </w:r>
          </w:p>
          <w:p w14:paraId="4C84F0F7" w14:textId="3D497C50" w:rsidR="3736F1D1" w:rsidRDefault="3736F1D1" w:rsidP="3736F1D1">
            <w:pPr>
              <w:rPr>
                <w:rFonts w:ascii="Aptos" w:eastAsia="Aptos" w:hAnsi="Aptos" w:cs="Aptos"/>
              </w:rPr>
            </w:pPr>
          </w:p>
        </w:tc>
        <w:tc>
          <w:tcPr>
            <w:tcW w:w="3360" w:type="dxa"/>
            <w:tcMar>
              <w:left w:w="105" w:type="dxa"/>
              <w:right w:w="105" w:type="dxa"/>
            </w:tcMar>
          </w:tcPr>
          <w:p w14:paraId="753BAECA" w14:textId="761DB2BA" w:rsidR="3736F1D1" w:rsidRDefault="3736F1D1" w:rsidP="3736F1D1">
            <w:pPr>
              <w:rPr>
                <w:rFonts w:ascii="Aptos" w:eastAsia="Aptos" w:hAnsi="Aptos" w:cs="Aptos"/>
              </w:rPr>
            </w:pPr>
            <w:r w:rsidRPr="3736F1D1">
              <w:rPr>
                <w:rFonts w:ascii="Aptos" w:eastAsia="Aptos" w:hAnsi="Aptos" w:cs="Aptos"/>
              </w:rPr>
              <w:t>Trainees begin to sequence learning across multiple lessons. Planning should show progression, adaptation, and responsiveness to prior learning.</w:t>
            </w:r>
          </w:p>
          <w:p w14:paraId="361BCB7C" w14:textId="3C188E01" w:rsidR="3736F1D1" w:rsidRDefault="3736F1D1" w:rsidP="3736F1D1">
            <w:pPr>
              <w:rPr>
                <w:rFonts w:ascii="Aptos" w:eastAsia="Aptos" w:hAnsi="Aptos" w:cs="Aptos"/>
              </w:rPr>
            </w:pPr>
          </w:p>
          <w:p w14:paraId="31352242" w14:textId="7E026A04" w:rsidR="4200BA12" w:rsidRDefault="4200BA12" w:rsidP="3736F1D1">
            <w:pPr>
              <w:rPr>
                <w:rFonts w:ascii="Aptos" w:eastAsia="Aptos" w:hAnsi="Aptos" w:cs="Aptos"/>
              </w:rPr>
            </w:pPr>
            <w:r w:rsidRPr="3736F1D1">
              <w:rPr>
                <w:rFonts w:ascii="Aptos" w:eastAsia="Aptos" w:hAnsi="Aptos" w:cs="Aptos"/>
                <w:b/>
                <w:bCs/>
              </w:rPr>
              <w:t xml:space="preserve">By the end of Professional Practice: </w:t>
            </w:r>
            <w:r w:rsidR="3736F1D1" w:rsidRPr="3736F1D1">
              <w:rPr>
                <w:rFonts w:ascii="Aptos" w:eastAsia="Aptos" w:hAnsi="Aptos" w:cs="Aptos"/>
                <w:b/>
                <w:bCs/>
              </w:rPr>
              <w:t>Trainees should demonstrate an understanding and consideration of the needs for groups and individuals.</w:t>
            </w:r>
          </w:p>
        </w:tc>
        <w:tc>
          <w:tcPr>
            <w:tcW w:w="3300" w:type="dxa"/>
            <w:tcBorders>
              <w:right w:val="single" w:sz="12" w:space="0" w:color="000000" w:themeColor="text1"/>
            </w:tcBorders>
            <w:tcMar>
              <w:left w:w="105" w:type="dxa"/>
              <w:right w:w="105" w:type="dxa"/>
            </w:tcMar>
          </w:tcPr>
          <w:p w14:paraId="1CD44EE5" w14:textId="10CE6273" w:rsidR="3736F1D1" w:rsidRDefault="3736F1D1" w:rsidP="3736F1D1">
            <w:pPr>
              <w:rPr>
                <w:rFonts w:ascii="Aptos" w:eastAsia="Aptos" w:hAnsi="Aptos" w:cs="Aptos"/>
              </w:rPr>
            </w:pPr>
            <w:r w:rsidRPr="3736F1D1">
              <w:rPr>
                <w:rFonts w:ascii="Aptos" w:eastAsia="Aptos" w:hAnsi="Aptos" w:cs="Aptos"/>
              </w:rPr>
              <w:t>Support trainees in sequencing learning and identifying links between lessons.</w:t>
            </w:r>
          </w:p>
          <w:p w14:paraId="6299133E" w14:textId="7061D374" w:rsidR="3736F1D1" w:rsidRDefault="3736F1D1" w:rsidP="3736F1D1">
            <w:pPr>
              <w:rPr>
                <w:rFonts w:ascii="Aptos" w:eastAsia="Aptos" w:hAnsi="Aptos" w:cs="Aptos"/>
              </w:rPr>
            </w:pPr>
          </w:p>
          <w:p w14:paraId="57208E49" w14:textId="1D350004" w:rsidR="3736F1D1" w:rsidRDefault="3736F1D1" w:rsidP="3736F1D1">
            <w:pPr>
              <w:rPr>
                <w:rFonts w:ascii="Aptos" w:eastAsia="Aptos" w:hAnsi="Aptos" w:cs="Aptos"/>
              </w:rPr>
            </w:pPr>
            <w:r w:rsidRPr="3736F1D1">
              <w:rPr>
                <w:rFonts w:ascii="Aptos" w:eastAsia="Aptos" w:hAnsi="Aptos" w:cs="Aptos"/>
              </w:rPr>
              <w:t>Encourage use of school data and formative assessment to inform planning.</w:t>
            </w:r>
          </w:p>
          <w:p w14:paraId="7A9412C8" w14:textId="0E001928" w:rsidR="3736F1D1" w:rsidRDefault="3736F1D1" w:rsidP="3736F1D1">
            <w:pPr>
              <w:rPr>
                <w:rFonts w:ascii="Aptos" w:eastAsia="Aptos" w:hAnsi="Aptos" w:cs="Aptos"/>
              </w:rPr>
            </w:pPr>
          </w:p>
          <w:p w14:paraId="5D3AD39F" w14:textId="69E4CCBC" w:rsidR="3736F1D1" w:rsidRDefault="3736F1D1" w:rsidP="3736F1D1">
            <w:pPr>
              <w:rPr>
                <w:rFonts w:ascii="Aptos" w:eastAsia="Aptos" w:hAnsi="Aptos" w:cs="Aptos"/>
              </w:rPr>
            </w:pPr>
            <w:r w:rsidRPr="3736F1D1">
              <w:rPr>
                <w:rFonts w:ascii="Aptos" w:eastAsia="Aptos" w:hAnsi="Aptos" w:cs="Aptos"/>
              </w:rPr>
              <w:t>Support trainees with additional individual lesson plans where further support is needed.</w:t>
            </w:r>
          </w:p>
        </w:tc>
      </w:tr>
      <w:tr w:rsidR="3736F1D1" w14:paraId="6C6BF7B7" w14:textId="77777777" w:rsidTr="3736F1D1">
        <w:trPr>
          <w:trHeight w:val="5400"/>
        </w:trPr>
        <w:tc>
          <w:tcPr>
            <w:tcW w:w="2145" w:type="dxa"/>
            <w:tcBorders>
              <w:left w:val="single" w:sz="12" w:space="0" w:color="000000" w:themeColor="text1"/>
              <w:bottom w:val="single" w:sz="12" w:space="0" w:color="000000" w:themeColor="text1"/>
            </w:tcBorders>
            <w:shd w:val="clear" w:color="auto" w:fill="F2CEED" w:themeFill="accent5" w:themeFillTint="33"/>
            <w:tcMar>
              <w:left w:w="105" w:type="dxa"/>
              <w:right w:w="105" w:type="dxa"/>
            </w:tcMar>
          </w:tcPr>
          <w:p w14:paraId="7ADAD9E8" w14:textId="49FA8AD9" w:rsidR="3736F1D1" w:rsidRDefault="3736F1D1" w:rsidP="3736F1D1">
            <w:pPr>
              <w:rPr>
                <w:rFonts w:ascii="Aptos" w:eastAsia="Aptos" w:hAnsi="Aptos" w:cs="Aptos"/>
              </w:rPr>
            </w:pPr>
            <w:r w:rsidRPr="3736F1D1">
              <w:rPr>
                <w:rFonts w:ascii="Aptos" w:eastAsia="Aptos" w:hAnsi="Aptos" w:cs="Aptos"/>
              </w:rPr>
              <w:t>Consolidation</w:t>
            </w:r>
          </w:p>
        </w:tc>
        <w:tc>
          <w:tcPr>
            <w:tcW w:w="2010" w:type="dxa"/>
            <w:tcBorders>
              <w:bottom w:val="single" w:sz="12" w:space="0" w:color="000000" w:themeColor="text1"/>
            </w:tcBorders>
            <w:tcMar>
              <w:left w:w="105" w:type="dxa"/>
              <w:right w:w="105" w:type="dxa"/>
            </w:tcMar>
          </w:tcPr>
          <w:p w14:paraId="5F148D9E" w14:textId="12D9BA55" w:rsidR="3736F1D1" w:rsidRDefault="3736F1D1" w:rsidP="3736F1D1">
            <w:pPr>
              <w:rPr>
                <w:rFonts w:ascii="Aptos" w:eastAsia="Aptos" w:hAnsi="Aptos" w:cs="Aptos"/>
              </w:rPr>
            </w:pPr>
            <w:r w:rsidRPr="3736F1D1">
              <w:rPr>
                <w:rFonts w:ascii="Aptos" w:eastAsia="Aptos" w:hAnsi="Aptos" w:cs="Aptos"/>
              </w:rPr>
              <w:t>A minimum of one individual lesson plan per week for observed lessons.</w:t>
            </w:r>
          </w:p>
          <w:p w14:paraId="7F9EA3DE" w14:textId="414D5567" w:rsidR="3736F1D1" w:rsidRDefault="3736F1D1" w:rsidP="3736F1D1">
            <w:pPr>
              <w:rPr>
                <w:rFonts w:ascii="Aptos" w:eastAsia="Aptos" w:hAnsi="Aptos" w:cs="Aptos"/>
              </w:rPr>
            </w:pPr>
          </w:p>
          <w:p w14:paraId="1F4A9350" w14:textId="209A6500" w:rsidR="3736F1D1" w:rsidRDefault="3736F1D1" w:rsidP="3736F1D1">
            <w:pPr>
              <w:rPr>
                <w:rFonts w:ascii="Aptos" w:eastAsia="Aptos" w:hAnsi="Aptos" w:cs="Aptos"/>
              </w:rPr>
            </w:pPr>
            <w:r w:rsidRPr="3736F1D1">
              <w:rPr>
                <w:rFonts w:ascii="Aptos" w:eastAsia="Aptos" w:hAnsi="Aptos" w:cs="Aptos"/>
              </w:rPr>
              <w:t>Sequence plans for sequences of three lessons or more.</w:t>
            </w:r>
          </w:p>
          <w:p w14:paraId="10F3B365" w14:textId="42BC7E7D" w:rsidR="3736F1D1" w:rsidRDefault="3736F1D1" w:rsidP="3736F1D1">
            <w:pPr>
              <w:rPr>
                <w:rFonts w:ascii="Aptos" w:eastAsia="Aptos" w:hAnsi="Aptos" w:cs="Aptos"/>
              </w:rPr>
            </w:pPr>
          </w:p>
        </w:tc>
        <w:tc>
          <w:tcPr>
            <w:tcW w:w="3360" w:type="dxa"/>
            <w:tcBorders>
              <w:bottom w:val="single" w:sz="12" w:space="0" w:color="000000" w:themeColor="text1"/>
            </w:tcBorders>
            <w:tcMar>
              <w:left w:w="105" w:type="dxa"/>
              <w:right w:w="105" w:type="dxa"/>
            </w:tcMar>
          </w:tcPr>
          <w:p w14:paraId="447A8BFC" w14:textId="60574CE7" w:rsidR="3736F1D1" w:rsidRDefault="3736F1D1" w:rsidP="3736F1D1">
            <w:pPr>
              <w:rPr>
                <w:rFonts w:ascii="Aptos" w:eastAsia="Aptos" w:hAnsi="Aptos" w:cs="Aptos"/>
              </w:rPr>
            </w:pPr>
            <w:r w:rsidRPr="3736F1D1">
              <w:rPr>
                <w:rFonts w:ascii="Aptos" w:eastAsia="Aptos" w:hAnsi="Aptos" w:cs="Aptos"/>
              </w:rPr>
              <w:t>Trainees should demonstrate autonomy in planning, including adapting schemes of work and designing units. Planning must reflect learner diversity and curriculum intent.</w:t>
            </w:r>
          </w:p>
          <w:p w14:paraId="1834BA31" w14:textId="69E531EA" w:rsidR="3736F1D1" w:rsidRDefault="3736F1D1" w:rsidP="3736F1D1">
            <w:pPr>
              <w:rPr>
                <w:rFonts w:ascii="Aptos" w:eastAsia="Aptos" w:hAnsi="Aptos" w:cs="Aptos"/>
              </w:rPr>
            </w:pPr>
          </w:p>
          <w:p w14:paraId="2FCEE1F9" w14:textId="41A373ED" w:rsidR="2B1D21FA" w:rsidRDefault="2B1D21FA" w:rsidP="3736F1D1">
            <w:pPr>
              <w:rPr>
                <w:rFonts w:ascii="Aptos" w:eastAsia="Aptos" w:hAnsi="Aptos" w:cs="Aptos"/>
              </w:rPr>
            </w:pPr>
            <w:r w:rsidRPr="3736F1D1">
              <w:rPr>
                <w:rFonts w:ascii="Aptos" w:eastAsia="Aptos" w:hAnsi="Aptos" w:cs="Aptos"/>
                <w:b/>
                <w:bCs/>
              </w:rPr>
              <w:t xml:space="preserve">By the end of Professional Practice: </w:t>
            </w:r>
            <w:r w:rsidR="3736F1D1" w:rsidRPr="3736F1D1">
              <w:rPr>
                <w:rFonts w:ascii="Aptos" w:eastAsia="Aptos" w:hAnsi="Aptos" w:cs="Aptos"/>
                <w:b/>
                <w:bCs/>
              </w:rPr>
              <w:t xml:space="preserve">Trainees should demonstrate a developed understanding and consideration of the needs of groups and individuals. </w:t>
            </w:r>
          </w:p>
        </w:tc>
        <w:tc>
          <w:tcPr>
            <w:tcW w:w="3300" w:type="dxa"/>
            <w:tcBorders>
              <w:bottom w:val="single" w:sz="12" w:space="0" w:color="000000" w:themeColor="text1"/>
              <w:right w:val="single" w:sz="12" w:space="0" w:color="000000" w:themeColor="text1"/>
            </w:tcBorders>
            <w:tcMar>
              <w:left w:w="105" w:type="dxa"/>
              <w:right w:w="105" w:type="dxa"/>
            </w:tcMar>
          </w:tcPr>
          <w:p w14:paraId="0692B9E7" w14:textId="70398B4D" w:rsidR="3736F1D1" w:rsidRDefault="3736F1D1" w:rsidP="3736F1D1">
            <w:pPr>
              <w:rPr>
                <w:rFonts w:ascii="Aptos" w:eastAsia="Aptos" w:hAnsi="Aptos" w:cs="Aptos"/>
              </w:rPr>
            </w:pPr>
            <w:r w:rsidRPr="3736F1D1">
              <w:rPr>
                <w:rFonts w:ascii="Aptos" w:eastAsia="Aptos" w:hAnsi="Aptos" w:cs="Aptos"/>
              </w:rPr>
              <w:t>Guide trainees in refining sequence plans. Ensure planning is responsive to pupil progress and includes evaluation of learning. Provide feedback on strategic decisions.</w:t>
            </w:r>
          </w:p>
          <w:p w14:paraId="40AD0F23" w14:textId="014A2727" w:rsidR="3736F1D1" w:rsidRDefault="3736F1D1" w:rsidP="3736F1D1">
            <w:pPr>
              <w:rPr>
                <w:rFonts w:ascii="Aptos" w:eastAsia="Aptos" w:hAnsi="Aptos" w:cs="Aptos"/>
              </w:rPr>
            </w:pPr>
          </w:p>
          <w:p w14:paraId="08E97BF7" w14:textId="4E48024A" w:rsidR="3736F1D1" w:rsidRDefault="3736F1D1" w:rsidP="3736F1D1">
            <w:pPr>
              <w:rPr>
                <w:rFonts w:ascii="Aptos" w:eastAsia="Aptos" w:hAnsi="Aptos" w:cs="Aptos"/>
              </w:rPr>
            </w:pPr>
            <w:r w:rsidRPr="3736F1D1">
              <w:rPr>
                <w:rFonts w:ascii="Aptos" w:eastAsia="Aptos" w:hAnsi="Aptos" w:cs="Aptos"/>
              </w:rPr>
              <w:t>Support trainees with additional individual lesson plans where further support is needed</w:t>
            </w:r>
          </w:p>
        </w:tc>
      </w:tr>
    </w:tbl>
    <w:p w14:paraId="3C708311" w14:textId="4E8772C7" w:rsidR="007D52EE" w:rsidRDefault="007D52EE" w:rsidP="3736F1D1">
      <w:pPr>
        <w:rPr>
          <w:rFonts w:ascii="Aptos" w:eastAsia="Aptos" w:hAnsi="Aptos" w:cs="Aptos"/>
        </w:rPr>
      </w:pPr>
    </w:p>
    <w:p w14:paraId="6FE73D75" w14:textId="7937E732" w:rsidR="007D52EE" w:rsidRDefault="007D52EE" w:rsidP="3736F1D1">
      <w:pPr>
        <w:rPr>
          <w:rFonts w:ascii="Aptos" w:eastAsia="Aptos" w:hAnsi="Aptos" w:cs="Aptos"/>
        </w:rPr>
      </w:pPr>
    </w:p>
    <w:p w14:paraId="0B405AB4" w14:textId="75CDC6DB" w:rsidR="09967FB2" w:rsidRDefault="09967FB2" w:rsidP="09967FB2">
      <w:pPr>
        <w:rPr>
          <w:rFonts w:ascii="Aptos" w:eastAsia="Aptos" w:hAnsi="Aptos" w:cs="Aptos"/>
        </w:rPr>
      </w:pPr>
    </w:p>
    <w:p w14:paraId="07E4DC7E" w14:textId="1D288E51" w:rsidR="09967FB2" w:rsidRDefault="09967FB2" w:rsidP="09967FB2">
      <w:pPr>
        <w:rPr>
          <w:rFonts w:ascii="Aptos" w:eastAsia="Aptos" w:hAnsi="Aptos" w:cs="Aptos"/>
        </w:rPr>
      </w:pPr>
    </w:p>
    <w:p w14:paraId="4F7C6884" w14:textId="3B787D69" w:rsidR="22ABE438" w:rsidRDefault="22ABE438" w:rsidP="22ABE438">
      <w:pPr>
        <w:rPr>
          <w:rFonts w:ascii="Aptos" w:eastAsia="Aptos" w:hAnsi="Aptos" w:cs="Aptos"/>
        </w:rPr>
      </w:pPr>
    </w:p>
    <w:p w14:paraId="5EED81FD" w14:textId="70A49F5F" w:rsidR="09967FB2" w:rsidRDefault="09967FB2" w:rsidP="09967FB2">
      <w:pPr>
        <w:rPr>
          <w:rFonts w:ascii="Aptos" w:eastAsia="Aptos" w:hAnsi="Aptos" w:cs="Aptos"/>
        </w:rPr>
      </w:pPr>
    </w:p>
    <w:p w14:paraId="5CD1B656" w14:textId="27F951B0" w:rsidR="007D52EE" w:rsidRDefault="7B73AD9F" w:rsidP="3736F1D1">
      <w:pPr>
        <w:rPr>
          <w:rFonts w:ascii="Aptos" w:eastAsia="Aptos" w:hAnsi="Aptos" w:cs="Aptos"/>
          <w:b/>
          <w:bCs/>
          <w:sz w:val="32"/>
          <w:szCs w:val="32"/>
          <w:u w:val="single"/>
        </w:rPr>
      </w:pPr>
      <w:r w:rsidRPr="3736F1D1">
        <w:rPr>
          <w:rFonts w:ascii="Aptos" w:eastAsia="Aptos" w:hAnsi="Aptos" w:cs="Aptos"/>
          <w:b/>
          <w:bCs/>
          <w:sz w:val="32"/>
          <w:szCs w:val="32"/>
          <w:u w:val="single"/>
        </w:rPr>
        <w:t>The Role of AI</w:t>
      </w:r>
    </w:p>
    <w:p w14:paraId="56F4292F" w14:textId="575EBE8D" w:rsidR="007D52EE" w:rsidRDefault="7B73AD9F" w:rsidP="3736F1D1">
      <w:r w:rsidRPr="3736F1D1">
        <w:rPr>
          <w:rFonts w:ascii="Aptos" w:eastAsia="Aptos" w:hAnsi="Aptos" w:cs="Aptos"/>
        </w:rPr>
        <w:t>We acknowledge the growing role of AI tools in supporting lesson planning and reducing workload, particularly in helping structure ideas or generate initial prompts. However, these tools must not replace the trainee’s own professional judgement, pedagogical reasoning, or creative input. Trainees are required to ensure that no pupil-specific or school-identifiable information is entered into any large language model or AI system, in line with data protection and safeguarding expectations. Should you have concerns around a trainee’s use of AI systems with lesson planning, please contact your Link Tutor in the first instance.</w:t>
      </w:r>
    </w:p>
    <w:p w14:paraId="42F17502" w14:textId="46AD0C25" w:rsidR="007D52EE" w:rsidRDefault="7B73AD9F" w:rsidP="3736F1D1">
      <w:pPr>
        <w:spacing w:before="240" w:after="240"/>
        <w:rPr>
          <w:rFonts w:ascii="Aptos" w:eastAsia="Aptos" w:hAnsi="Aptos" w:cs="Aptos"/>
        </w:rPr>
      </w:pPr>
      <w:r w:rsidRPr="3736F1D1">
        <w:rPr>
          <w:rFonts w:ascii="Aptos" w:eastAsia="Aptos" w:hAnsi="Aptos" w:cs="Aptos"/>
        </w:rPr>
        <w:t>Below are some suitable</w:t>
      </w:r>
      <w:r w:rsidR="628EAD9E" w:rsidRPr="3736F1D1">
        <w:rPr>
          <w:rFonts w:ascii="Aptos" w:eastAsia="Aptos" w:hAnsi="Aptos" w:cs="Aptos"/>
        </w:rPr>
        <w:t xml:space="preserve"> example</w:t>
      </w:r>
      <w:r w:rsidRPr="3736F1D1">
        <w:rPr>
          <w:rFonts w:ascii="Aptos" w:eastAsia="Aptos" w:hAnsi="Aptos" w:cs="Aptos"/>
        </w:rPr>
        <w:t xml:space="preserve"> prompts that can support lesson planning:</w:t>
      </w:r>
    </w:p>
    <w:p w14:paraId="3E528ACD" w14:textId="5AF41449" w:rsidR="007D52EE" w:rsidRDefault="7B73AD9F" w:rsidP="3736F1D1">
      <w:pPr>
        <w:spacing w:before="240" w:after="240"/>
        <w:rPr>
          <w:rFonts w:ascii="Aptos" w:eastAsia="Aptos" w:hAnsi="Aptos" w:cs="Aptos"/>
          <w:b/>
          <w:bCs/>
        </w:rPr>
      </w:pPr>
      <w:r w:rsidRPr="3736F1D1">
        <w:rPr>
          <w:rFonts w:ascii="Aptos" w:eastAsia="Aptos" w:hAnsi="Aptos" w:cs="Aptos"/>
          <w:b/>
          <w:bCs/>
        </w:rPr>
        <w:t xml:space="preserve"> Planning Structure &amp; Sequencing</w:t>
      </w:r>
    </w:p>
    <w:p w14:paraId="1323A98B" w14:textId="2953452E" w:rsidR="007D52EE" w:rsidRDefault="7B73AD9F" w:rsidP="3736F1D1">
      <w:pPr>
        <w:pStyle w:val="ListParagraph"/>
        <w:numPr>
          <w:ilvl w:val="0"/>
          <w:numId w:val="5"/>
        </w:numPr>
        <w:spacing w:after="0"/>
        <w:rPr>
          <w:rFonts w:ascii="Aptos" w:eastAsia="Aptos" w:hAnsi="Aptos" w:cs="Aptos"/>
        </w:rPr>
      </w:pPr>
      <w:r w:rsidRPr="3736F1D1">
        <w:rPr>
          <w:rFonts w:ascii="Aptos" w:eastAsia="Aptos" w:hAnsi="Aptos" w:cs="Aptos"/>
        </w:rPr>
        <w:t xml:space="preserve">Can you suggest a logical sequence for teaching </w:t>
      </w:r>
      <w:r w:rsidR="1C39DF69" w:rsidRPr="3736F1D1">
        <w:rPr>
          <w:rFonts w:ascii="Aptos" w:eastAsia="Aptos" w:hAnsi="Aptos" w:cs="Aptos"/>
        </w:rPr>
        <w:t xml:space="preserve">geography </w:t>
      </w:r>
      <w:r w:rsidRPr="3736F1D1">
        <w:rPr>
          <w:rFonts w:ascii="Aptos" w:eastAsia="Aptos" w:hAnsi="Aptos" w:cs="Aptos"/>
        </w:rPr>
        <w:t xml:space="preserve">to Year </w:t>
      </w:r>
      <w:r w:rsidR="2519B182" w:rsidRPr="3736F1D1">
        <w:rPr>
          <w:rFonts w:ascii="Aptos" w:eastAsia="Aptos" w:hAnsi="Aptos" w:cs="Aptos"/>
        </w:rPr>
        <w:t>4 pupils</w:t>
      </w:r>
      <w:r w:rsidRPr="3736F1D1">
        <w:rPr>
          <w:rFonts w:ascii="Aptos" w:eastAsia="Aptos" w:hAnsi="Aptos" w:cs="Aptos"/>
        </w:rPr>
        <w:t>?</w:t>
      </w:r>
    </w:p>
    <w:p w14:paraId="7BC96A63" w14:textId="1898FD07" w:rsidR="007D52EE" w:rsidRDefault="7B73AD9F" w:rsidP="3736F1D1">
      <w:pPr>
        <w:pStyle w:val="ListParagraph"/>
        <w:numPr>
          <w:ilvl w:val="0"/>
          <w:numId w:val="5"/>
        </w:numPr>
        <w:spacing w:after="0"/>
        <w:rPr>
          <w:rFonts w:ascii="Aptos" w:eastAsia="Aptos" w:hAnsi="Aptos" w:cs="Aptos"/>
        </w:rPr>
      </w:pPr>
      <w:r w:rsidRPr="3736F1D1">
        <w:rPr>
          <w:rFonts w:ascii="Aptos" w:eastAsia="Aptos" w:hAnsi="Aptos" w:cs="Aptos"/>
        </w:rPr>
        <w:t xml:space="preserve">What are some effective starter activities to activate prior knowledge about </w:t>
      </w:r>
      <w:r w:rsidR="7AF1AB28" w:rsidRPr="3736F1D1">
        <w:rPr>
          <w:rFonts w:ascii="Aptos" w:eastAsia="Aptos" w:hAnsi="Aptos" w:cs="Aptos"/>
        </w:rPr>
        <w:t>the Great Fire of London</w:t>
      </w:r>
      <w:r w:rsidRPr="3736F1D1">
        <w:rPr>
          <w:rFonts w:ascii="Aptos" w:eastAsia="Aptos" w:hAnsi="Aptos" w:cs="Aptos"/>
        </w:rPr>
        <w:t>?”</w:t>
      </w:r>
    </w:p>
    <w:p w14:paraId="10A59398" w14:textId="6417F80E" w:rsidR="007D52EE" w:rsidRDefault="7B73AD9F" w:rsidP="3736F1D1">
      <w:pPr>
        <w:pStyle w:val="ListParagraph"/>
        <w:numPr>
          <w:ilvl w:val="0"/>
          <w:numId w:val="5"/>
        </w:numPr>
        <w:spacing w:after="0"/>
        <w:rPr>
          <w:rFonts w:ascii="Aptos" w:eastAsia="Aptos" w:hAnsi="Aptos" w:cs="Aptos"/>
        </w:rPr>
      </w:pPr>
      <w:r w:rsidRPr="3736F1D1">
        <w:rPr>
          <w:rFonts w:ascii="Aptos" w:eastAsia="Aptos" w:hAnsi="Aptos" w:cs="Aptos"/>
        </w:rPr>
        <w:t xml:space="preserve">How can I scaffold learning for mixed-ability groups when teaching </w:t>
      </w:r>
      <w:r w:rsidR="7F4FBEBB" w:rsidRPr="3736F1D1">
        <w:rPr>
          <w:rFonts w:ascii="Aptos" w:eastAsia="Aptos" w:hAnsi="Aptos" w:cs="Aptos"/>
        </w:rPr>
        <w:t>fractions</w:t>
      </w:r>
      <w:r w:rsidRPr="3736F1D1">
        <w:rPr>
          <w:rFonts w:ascii="Aptos" w:eastAsia="Aptos" w:hAnsi="Aptos" w:cs="Aptos"/>
        </w:rPr>
        <w:t>?</w:t>
      </w:r>
    </w:p>
    <w:p w14:paraId="553EEC43" w14:textId="66F6B9BD" w:rsidR="007D52EE" w:rsidRDefault="2BB41B3B" w:rsidP="3736F1D1">
      <w:pPr>
        <w:spacing w:before="240" w:after="240"/>
        <w:rPr>
          <w:rFonts w:ascii="Aptos" w:eastAsia="Aptos" w:hAnsi="Aptos" w:cs="Aptos"/>
          <w:b/>
          <w:bCs/>
        </w:rPr>
      </w:pPr>
      <w:r w:rsidRPr="3736F1D1">
        <w:rPr>
          <w:rFonts w:ascii="Aptos" w:eastAsia="Aptos" w:hAnsi="Aptos" w:cs="Aptos"/>
          <w:b/>
          <w:bCs/>
        </w:rPr>
        <w:t xml:space="preserve"> </w:t>
      </w:r>
      <w:r w:rsidR="7B73AD9F" w:rsidRPr="3736F1D1">
        <w:rPr>
          <w:rFonts w:ascii="Aptos" w:eastAsia="Aptos" w:hAnsi="Aptos" w:cs="Aptos"/>
          <w:b/>
          <w:bCs/>
        </w:rPr>
        <w:t>Learning Objectives &amp; Outcomes</w:t>
      </w:r>
    </w:p>
    <w:p w14:paraId="2162C6A9" w14:textId="02C921E9" w:rsidR="007D52EE" w:rsidRDefault="7B73AD9F" w:rsidP="3736F1D1">
      <w:pPr>
        <w:pStyle w:val="ListParagraph"/>
        <w:numPr>
          <w:ilvl w:val="0"/>
          <w:numId w:val="4"/>
        </w:numPr>
        <w:spacing w:after="0"/>
        <w:rPr>
          <w:rFonts w:ascii="Aptos" w:eastAsia="Aptos" w:hAnsi="Aptos" w:cs="Aptos"/>
        </w:rPr>
      </w:pPr>
      <w:r w:rsidRPr="3736F1D1">
        <w:rPr>
          <w:rFonts w:ascii="Aptos" w:eastAsia="Aptos" w:hAnsi="Aptos" w:cs="Aptos"/>
        </w:rPr>
        <w:t xml:space="preserve">What might be appropriate learning objectives for a lesson on </w:t>
      </w:r>
      <w:r w:rsidR="55B63E72" w:rsidRPr="3736F1D1">
        <w:rPr>
          <w:rFonts w:ascii="Aptos" w:eastAsia="Aptos" w:hAnsi="Aptos" w:cs="Aptos"/>
        </w:rPr>
        <w:t xml:space="preserve">algorithms </w:t>
      </w:r>
      <w:r w:rsidRPr="3736F1D1">
        <w:rPr>
          <w:rFonts w:ascii="Aptos" w:eastAsia="Aptos" w:hAnsi="Aptos" w:cs="Aptos"/>
        </w:rPr>
        <w:t>at KS</w:t>
      </w:r>
      <w:r w:rsidR="20E049B9" w:rsidRPr="3736F1D1">
        <w:rPr>
          <w:rFonts w:ascii="Aptos" w:eastAsia="Aptos" w:hAnsi="Aptos" w:cs="Aptos"/>
        </w:rPr>
        <w:t>2</w:t>
      </w:r>
      <w:r w:rsidRPr="3736F1D1">
        <w:rPr>
          <w:rFonts w:ascii="Aptos" w:eastAsia="Aptos" w:hAnsi="Aptos" w:cs="Aptos"/>
        </w:rPr>
        <w:t>?</w:t>
      </w:r>
    </w:p>
    <w:p w14:paraId="1AD39798" w14:textId="06195D86" w:rsidR="007D52EE" w:rsidRDefault="7B73AD9F" w:rsidP="3736F1D1">
      <w:pPr>
        <w:pStyle w:val="ListParagraph"/>
        <w:numPr>
          <w:ilvl w:val="0"/>
          <w:numId w:val="4"/>
        </w:numPr>
        <w:spacing w:after="0"/>
        <w:rPr>
          <w:rFonts w:ascii="Aptos" w:eastAsia="Aptos" w:hAnsi="Aptos" w:cs="Aptos"/>
        </w:rPr>
      </w:pPr>
      <w:r w:rsidRPr="3736F1D1">
        <w:rPr>
          <w:rFonts w:ascii="Aptos" w:eastAsia="Aptos" w:hAnsi="Aptos" w:cs="Aptos"/>
        </w:rPr>
        <w:t>Can you help me phrase success criteri</w:t>
      </w:r>
      <w:r w:rsidR="70EC1571" w:rsidRPr="3736F1D1">
        <w:rPr>
          <w:rFonts w:ascii="Aptos" w:eastAsia="Aptos" w:hAnsi="Aptos" w:cs="Aptos"/>
        </w:rPr>
        <w:t>a</w:t>
      </w:r>
      <w:r w:rsidRPr="3736F1D1">
        <w:rPr>
          <w:rFonts w:ascii="Aptos" w:eastAsia="Aptos" w:hAnsi="Aptos" w:cs="Aptos"/>
        </w:rPr>
        <w:t xml:space="preserve"> for a </w:t>
      </w:r>
      <w:r w:rsidR="3BD35B9A" w:rsidRPr="3736F1D1">
        <w:rPr>
          <w:rFonts w:ascii="Aptos" w:eastAsia="Aptos" w:hAnsi="Aptos" w:cs="Aptos"/>
        </w:rPr>
        <w:t xml:space="preserve">Design and Technology </w:t>
      </w:r>
      <w:r w:rsidRPr="3736F1D1">
        <w:rPr>
          <w:rFonts w:ascii="Aptos" w:eastAsia="Aptos" w:hAnsi="Aptos" w:cs="Aptos"/>
        </w:rPr>
        <w:t xml:space="preserve">task involving </w:t>
      </w:r>
      <w:r w:rsidR="52859C44" w:rsidRPr="3736F1D1">
        <w:rPr>
          <w:rFonts w:ascii="Aptos" w:eastAsia="Aptos" w:hAnsi="Aptos" w:cs="Aptos"/>
        </w:rPr>
        <w:t>creating a</w:t>
      </w:r>
      <w:r w:rsidR="382DD4E1" w:rsidRPr="3736F1D1">
        <w:rPr>
          <w:rFonts w:ascii="Aptos" w:eastAsia="Aptos" w:hAnsi="Aptos" w:cs="Aptos"/>
        </w:rPr>
        <w:t>nd designing a biscuit brand?</w:t>
      </w:r>
    </w:p>
    <w:p w14:paraId="17189C3E" w14:textId="6F6133EE" w:rsidR="007D52EE" w:rsidRDefault="382DD4E1" w:rsidP="3736F1D1">
      <w:pPr>
        <w:spacing w:before="240" w:after="240"/>
        <w:rPr>
          <w:rFonts w:ascii="Aptos" w:eastAsia="Aptos" w:hAnsi="Aptos" w:cs="Aptos"/>
          <w:b/>
          <w:bCs/>
        </w:rPr>
      </w:pPr>
      <w:r w:rsidRPr="3736F1D1">
        <w:rPr>
          <w:rFonts w:ascii="Aptos" w:eastAsia="Aptos" w:hAnsi="Aptos" w:cs="Aptos"/>
          <w:b/>
          <w:bCs/>
        </w:rPr>
        <w:t>Adaptive Teaching</w:t>
      </w:r>
      <w:r w:rsidR="7B73AD9F" w:rsidRPr="3736F1D1">
        <w:rPr>
          <w:rFonts w:ascii="Aptos" w:eastAsia="Aptos" w:hAnsi="Aptos" w:cs="Aptos"/>
          <w:b/>
          <w:bCs/>
        </w:rPr>
        <w:t xml:space="preserve"> &amp; Inclusion</w:t>
      </w:r>
    </w:p>
    <w:p w14:paraId="3EF12B01" w14:textId="1561D22F" w:rsidR="007D52EE" w:rsidRDefault="7B73AD9F" w:rsidP="3736F1D1">
      <w:pPr>
        <w:pStyle w:val="ListParagraph"/>
        <w:numPr>
          <w:ilvl w:val="0"/>
          <w:numId w:val="3"/>
        </w:numPr>
        <w:spacing w:after="0"/>
        <w:rPr>
          <w:rFonts w:ascii="Aptos" w:eastAsia="Aptos" w:hAnsi="Aptos" w:cs="Aptos"/>
        </w:rPr>
      </w:pPr>
      <w:r w:rsidRPr="3736F1D1">
        <w:rPr>
          <w:rFonts w:ascii="Aptos" w:eastAsia="Aptos" w:hAnsi="Aptos" w:cs="Aptos"/>
        </w:rPr>
        <w:t xml:space="preserve">What are some inclusive strategies for supporting EAL learners during a lesson on </w:t>
      </w:r>
      <w:r w:rsidR="64A53F42" w:rsidRPr="3736F1D1">
        <w:rPr>
          <w:rFonts w:ascii="Aptos" w:eastAsia="Aptos" w:hAnsi="Aptos" w:cs="Aptos"/>
        </w:rPr>
        <w:t>programm</w:t>
      </w:r>
      <w:r w:rsidR="596C69B9" w:rsidRPr="3736F1D1">
        <w:rPr>
          <w:rFonts w:ascii="Aptos" w:eastAsia="Aptos" w:hAnsi="Aptos" w:cs="Aptos"/>
        </w:rPr>
        <w:t>ing</w:t>
      </w:r>
      <w:r w:rsidRPr="3736F1D1">
        <w:rPr>
          <w:rFonts w:ascii="Aptos" w:eastAsia="Aptos" w:hAnsi="Aptos" w:cs="Aptos"/>
        </w:rPr>
        <w:t>?</w:t>
      </w:r>
    </w:p>
    <w:p w14:paraId="45131627" w14:textId="0052BC12" w:rsidR="007D52EE" w:rsidRDefault="7B73AD9F" w:rsidP="3736F1D1">
      <w:pPr>
        <w:pStyle w:val="ListParagraph"/>
        <w:numPr>
          <w:ilvl w:val="0"/>
          <w:numId w:val="3"/>
        </w:numPr>
        <w:spacing w:after="0"/>
        <w:rPr>
          <w:rFonts w:ascii="Aptos" w:eastAsia="Aptos" w:hAnsi="Aptos" w:cs="Aptos"/>
        </w:rPr>
      </w:pPr>
      <w:r w:rsidRPr="3736F1D1">
        <w:rPr>
          <w:rFonts w:ascii="Aptos" w:eastAsia="Aptos" w:hAnsi="Aptos" w:cs="Aptos"/>
        </w:rPr>
        <w:t>How can I adapt this activity for pupils with SEND while maintaining challenge?</w:t>
      </w:r>
    </w:p>
    <w:p w14:paraId="28080247" w14:textId="19A2D477" w:rsidR="007D52EE" w:rsidRDefault="37298DF9" w:rsidP="3736F1D1">
      <w:pPr>
        <w:spacing w:before="240" w:after="240"/>
        <w:rPr>
          <w:rFonts w:ascii="Aptos" w:eastAsia="Aptos" w:hAnsi="Aptos" w:cs="Aptos"/>
          <w:b/>
          <w:bCs/>
        </w:rPr>
      </w:pPr>
      <w:r w:rsidRPr="3736F1D1">
        <w:rPr>
          <w:rFonts w:ascii="Aptos" w:eastAsia="Aptos" w:hAnsi="Aptos" w:cs="Aptos"/>
          <w:b/>
          <w:bCs/>
        </w:rPr>
        <w:t xml:space="preserve">  </w:t>
      </w:r>
      <w:r w:rsidR="7B73AD9F" w:rsidRPr="3736F1D1">
        <w:rPr>
          <w:rFonts w:ascii="Aptos" w:eastAsia="Aptos" w:hAnsi="Aptos" w:cs="Aptos"/>
          <w:b/>
          <w:bCs/>
        </w:rPr>
        <w:t>Questioning &amp; Assessment</w:t>
      </w:r>
    </w:p>
    <w:p w14:paraId="41522525" w14:textId="1107B2E3" w:rsidR="007D52EE" w:rsidRDefault="7B73AD9F" w:rsidP="3736F1D1">
      <w:pPr>
        <w:pStyle w:val="ListParagraph"/>
        <w:numPr>
          <w:ilvl w:val="0"/>
          <w:numId w:val="2"/>
        </w:numPr>
        <w:spacing w:after="0"/>
        <w:rPr>
          <w:rFonts w:ascii="Aptos" w:eastAsia="Aptos" w:hAnsi="Aptos" w:cs="Aptos"/>
        </w:rPr>
      </w:pPr>
      <w:r w:rsidRPr="3736F1D1">
        <w:rPr>
          <w:rFonts w:ascii="Aptos" w:eastAsia="Aptos" w:hAnsi="Aptos" w:cs="Aptos"/>
        </w:rPr>
        <w:t xml:space="preserve">Can you suggest some open-ended questions to assess understanding of </w:t>
      </w:r>
      <w:r w:rsidR="20C7F891" w:rsidRPr="3736F1D1">
        <w:rPr>
          <w:rFonts w:ascii="Aptos" w:eastAsia="Aptos" w:hAnsi="Aptos" w:cs="Aptos"/>
        </w:rPr>
        <w:t>punctuating direct speech</w:t>
      </w:r>
      <w:r w:rsidRPr="3736F1D1">
        <w:rPr>
          <w:rFonts w:ascii="Aptos" w:eastAsia="Aptos" w:hAnsi="Aptos" w:cs="Aptos"/>
        </w:rPr>
        <w:t>?</w:t>
      </w:r>
    </w:p>
    <w:p w14:paraId="4B28CF18" w14:textId="784F4BA9" w:rsidR="007D52EE" w:rsidRDefault="7B73AD9F" w:rsidP="3736F1D1">
      <w:pPr>
        <w:pStyle w:val="ListParagraph"/>
        <w:numPr>
          <w:ilvl w:val="0"/>
          <w:numId w:val="2"/>
        </w:numPr>
        <w:spacing w:after="0"/>
        <w:rPr>
          <w:rFonts w:ascii="Aptos" w:eastAsia="Aptos" w:hAnsi="Aptos" w:cs="Aptos"/>
        </w:rPr>
      </w:pPr>
      <w:r w:rsidRPr="3736F1D1">
        <w:rPr>
          <w:rFonts w:ascii="Aptos" w:eastAsia="Aptos" w:hAnsi="Aptos" w:cs="Aptos"/>
        </w:rPr>
        <w:t xml:space="preserve">What formative assessment strategies could I use in a lesson on </w:t>
      </w:r>
      <w:r w:rsidR="47260BFD" w:rsidRPr="3736F1D1">
        <w:rPr>
          <w:rFonts w:ascii="Aptos" w:eastAsia="Aptos" w:hAnsi="Aptos" w:cs="Aptos"/>
        </w:rPr>
        <w:t>singing as part of a group</w:t>
      </w:r>
      <w:r w:rsidRPr="3736F1D1">
        <w:rPr>
          <w:rFonts w:ascii="Aptos" w:eastAsia="Aptos" w:hAnsi="Aptos" w:cs="Aptos"/>
        </w:rPr>
        <w:t>?</w:t>
      </w:r>
    </w:p>
    <w:p w14:paraId="27523C46" w14:textId="57CA1B2F" w:rsidR="007D52EE" w:rsidRDefault="05DF7C25" w:rsidP="3736F1D1">
      <w:pPr>
        <w:spacing w:before="240" w:after="240"/>
        <w:rPr>
          <w:rFonts w:ascii="Aptos" w:eastAsia="Aptos" w:hAnsi="Aptos" w:cs="Aptos"/>
          <w:b/>
          <w:bCs/>
        </w:rPr>
      </w:pPr>
      <w:r w:rsidRPr="3736F1D1">
        <w:rPr>
          <w:rFonts w:ascii="Aptos" w:eastAsia="Aptos" w:hAnsi="Aptos" w:cs="Aptos"/>
          <w:b/>
          <w:bCs/>
        </w:rPr>
        <w:lastRenderedPageBreak/>
        <w:t xml:space="preserve">   </w:t>
      </w:r>
      <w:r w:rsidR="7B73AD9F" w:rsidRPr="3736F1D1">
        <w:rPr>
          <w:rFonts w:ascii="Aptos" w:eastAsia="Aptos" w:hAnsi="Aptos" w:cs="Aptos"/>
          <w:b/>
          <w:bCs/>
        </w:rPr>
        <w:t>Creativity &amp; Engagement</w:t>
      </w:r>
    </w:p>
    <w:p w14:paraId="31B6B1C6" w14:textId="4D6CBCB6" w:rsidR="007D52EE" w:rsidRDefault="7B73AD9F" w:rsidP="3736F1D1">
      <w:pPr>
        <w:pStyle w:val="ListParagraph"/>
        <w:numPr>
          <w:ilvl w:val="0"/>
          <w:numId w:val="1"/>
        </w:numPr>
        <w:spacing w:after="0"/>
        <w:rPr>
          <w:rFonts w:ascii="Aptos" w:eastAsia="Aptos" w:hAnsi="Aptos" w:cs="Aptos"/>
        </w:rPr>
      </w:pPr>
      <w:r w:rsidRPr="3736F1D1">
        <w:rPr>
          <w:rFonts w:ascii="Aptos" w:eastAsia="Aptos" w:hAnsi="Aptos" w:cs="Aptos"/>
        </w:rPr>
        <w:t xml:space="preserve">What are some creative ways to introduce </w:t>
      </w:r>
      <w:r w:rsidR="1CA95C02" w:rsidRPr="3736F1D1">
        <w:rPr>
          <w:rFonts w:ascii="Aptos" w:eastAsia="Aptos" w:hAnsi="Aptos" w:cs="Aptos"/>
        </w:rPr>
        <w:t xml:space="preserve">Extreme Earth </w:t>
      </w:r>
      <w:r w:rsidRPr="3736F1D1">
        <w:rPr>
          <w:rFonts w:ascii="Aptos" w:eastAsia="Aptos" w:hAnsi="Aptos" w:cs="Aptos"/>
        </w:rPr>
        <w:t xml:space="preserve">to engage Year </w:t>
      </w:r>
      <w:r w:rsidR="44EF2403" w:rsidRPr="3736F1D1">
        <w:rPr>
          <w:rFonts w:ascii="Aptos" w:eastAsia="Aptos" w:hAnsi="Aptos" w:cs="Aptos"/>
        </w:rPr>
        <w:t>3</w:t>
      </w:r>
      <w:r w:rsidRPr="3736F1D1">
        <w:rPr>
          <w:rFonts w:ascii="Aptos" w:eastAsia="Aptos" w:hAnsi="Aptos" w:cs="Aptos"/>
        </w:rPr>
        <w:t xml:space="preserve"> </w:t>
      </w:r>
      <w:r w:rsidR="233AD417" w:rsidRPr="3736F1D1">
        <w:rPr>
          <w:rFonts w:ascii="Aptos" w:eastAsia="Aptos" w:hAnsi="Aptos" w:cs="Aptos"/>
        </w:rPr>
        <w:t>pupil</w:t>
      </w:r>
      <w:r w:rsidRPr="3736F1D1">
        <w:rPr>
          <w:rFonts w:ascii="Aptos" w:eastAsia="Aptos" w:hAnsi="Aptos" w:cs="Aptos"/>
        </w:rPr>
        <w:t>s?</w:t>
      </w:r>
    </w:p>
    <w:p w14:paraId="0704540D" w14:textId="6DD65CB0" w:rsidR="007D52EE" w:rsidRDefault="7B73AD9F" w:rsidP="3736F1D1">
      <w:pPr>
        <w:pStyle w:val="ListParagraph"/>
        <w:numPr>
          <w:ilvl w:val="0"/>
          <w:numId w:val="1"/>
        </w:numPr>
        <w:spacing w:after="0"/>
        <w:rPr>
          <w:rFonts w:ascii="Aptos" w:eastAsia="Aptos" w:hAnsi="Aptos" w:cs="Aptos"/>
        </w:rPr>
      </w:pPr>
      <w:r w:rsidRPr="3736F1D1">
        <w:rPr>
          <w:rFonts w:ascii="Aptos" w:eastAsia="Aptos" w:hAnsi="Aptos" w:cs="Aptos"/>
        </w:rPr>
        <w:t xml:space="preserve">Can you suggest a role-play or simulation activity to explore </w:t>
      </w:r>
      <w:r w:rsidR="04A04B3C" w:rsidRPr="3736F1D1">
        <w:rPr>
          <w:rFonts w:ascii="Aptos" w:eastAsia="Aptos" w:hAnsi="Aptos" w:cs="Aptos"/>
        </w:rPr>
        <w:t>peer pressure</w:t>
      </w:r>
      <w:r w:rsidRPr="3736F1D1">
        <w:rPr>
          <w:rFonts w:ascii="Aptos" w:eastAsia="Aptos" w:hAnsi="Aptos" w:cs="Aptos"/>
        </w:rPr>
        <w:t xml:space="preserve"> in a </w:t>
      </w:r>
      <w:r w:rsidR="082804BD" w:rsidRPr="3736F1D1">
        <w:rPr>
          <w:rFonts w:ascii="Aptos" w:eastAsia="Aptos" w:hAnsi="Aptos" w:cs="Aptos"/>
        </w:rPr>
        <w:t>PSHE</w:t>
      </w:r>
      <w:r w:rsidRPr="3736F1D1">
        <w:rPr>
          <w:rFonts w:ascii="Aptos" w:eastAsia="Aptos" w:hAnsi="Aptos" w:cs="Aptos"/>
        </w:rPr>
        <w:t xml:space="preserve"> lesson?</w:t>
      </w:r>
    </w:p>
    <w:p w14:paraId="2C078E63" w14:textId="3A4CB89A" w:rsidR="007D52EE" w:rsidRDefault="007D52EE"/>
    <w:p w14:paraId="4598EA15" w14:textId="28260AC0" w:rsidR="25A4B7CA" w:rsidRDefault="25A4B7CA" w:rsidP="3736F1D1">
      <w:pPr>
        <w:spacing w:after="240"/>
      </w:pPr>
      <w:r w:rsidRPr="09967FB2">
        <w:rPr>
          <w:rFonts w:ascii="Aptos" w:eastAsia="Aptos" w:hAnsi="Aptos" w:cs="Aptos"/>
        </w:rPr>
        <w:t>We expect trainees to be open and honest about any use of AI in their planning, so that mentors can provide informed guidance and support their professional development effectively.</w:t>
      </w:r>
    </w:p>
    <w:p w14:paraId="040B66A7" w14:textId="049027DA" w:rsidR="09967FB2" w:rsidRDefault="09967FB2" w:rsidP="09967FB2">
      <w:pPr>
        <w:spacing w:after="240"/>
        <w:rPr>
          <w:rFonts w:ascii="Aptos" w:eastAsia="Aptos" w:hAnsi="Aptos" w:cs="Aptos"/>
        </w:rPr>
      </w:pPr>
    </w:p>
    <w:p w14:paraId="0B90522B" w14:textId="6980584A" w:rsidR="52FA9581" w:rsidRDefault="52FA9581" w:rsidP="3736F1D1">
      <w:pPr>
        <w:rPr>
          <w:b/>
          <w:bCs/>
          <w:sz w:val="32"/>
          <w:szCs w:val="32"/>
          <w:u w:val="single"/>
        </w:rPr>
      </w:pPr>
      <w:r w:rsidRPr="2F8F6ED7">
        <w:rPr>
          <w:b/>
          <w:bCs/>
          <w:sz w:val="32"/>
          <w:szCs w:val="32"/>
          <w:u w:val="single"/>
        </w:rPr>
        <w:t>Schemes of Work</w:t>
      </w:r>
    </w:p>
    <w:p w14:paraId="12906434" w14:textId="383AD5CE" w:rsidR="330C3837" w:rsidRDefault="330C3837" w:rsidP="711701DF">
      <w:pPr>
        <w:rPr>
          <w:rFonts w:ascii="Aptos" w:eastAsia="Aptos" w:hAnsi="Aptos" w:cs="Aptos"/>
        </w:rPr>
      </w:pPr>
      <w:r w:rsidRPr="711701DF">
        <w:rPr>
          <w:rFonts w:ascii="Aptos" w:eastAsia="Aptos" w:hAnsi="Aptos" w:cs="Aptos"/>
        </w:rPr>
        <w:t xml:space="preserve">Published schemes of work can provide valuable starting points, especially in terms of curriculum coverage and resource efficiency. However, it is essential that trainees engage critically with these materials rather than relying on them </w:t>
      </w:r>
      <w:proofErr w:type="spellStart"/>
      <w:r w:rsidRPr="711701DF">
        <w:rPr>
          <w:rFonts w:ascii="Aptos" w:eastAsia="Aptos" w:hAnsi="Aptos" w:cs="Aptos"/>
        </w:rPr>
        <w:t>unadapted</w:t>
      </w:r>
      <w:proofErr w:type="spellEnd"/>
      <w:r w:rsidRPr="711701DF">
        <w:rPr>
          <w:rFonts w:ascii="Aptos" w:eastAsia="Aptos" w:hAnsi="Aptos" w:cs="Aptos"/>
        </w:rPr>
        <w:t>. Our expectation is that trainees demonstrate ownership of their planning by tailoring content to meet the specific needs of their learners, aligning activities with the ITTECF standards, and embedding inclusive pedagogy.</w:t>
      </w:r>
    </w:p>
    <w:p w14:paraId="32738903" w14:textId="67EEC2E6" w:rsidR="330C3837" w:rsidRDefault="330C3837" w:rsidP="711701DF">
      <w:r w:rsidRPr="711701DF">
        <w:rPr>
          <w:rFonts w:ascii="Aptos" w:eastAsia="Aptos" w:hAnsi="Aptos" w:cs="Aptos"/>
        </w:rPr>
        <w:t>We also recognise the importance of maintaining fidelity to the core objectives of published schemes—particularly in areas such as systematic phonics instruction—where consistency and progression are crucial. Trainees should therefore strike a balance between adapting materials to reflect their developing understanding of curriculum intent, sequencing, and adaptive teaching, while ensuring that essential pedagogical principles are preserved.</w:t>
      </w:r>
    </w:p>
    <w:p w14:paraId="4086B41E" w14:textId="0DF7949D" w:rsidR="330C3837" w:rsidRDefault="330C3837" w:rsidP="711701DF">
      <w:r w:rsidRPr="711701DF">
        <w:rPr>
          <w:rFonts w:ascii="Aptos" w:eastAsia="Aptos" w:hAnsi="Aptos" w:cs="Aptos"/>
        </w:rPr>
        <w:t>This approach supports professional growth and encourages trainees to become reflective and creative practitioners who can respond flexibly to learner needs without compromising the integrity of key curriculum components.</w:t>
      </w:r>
    </w:p>
    <w:p w14:paraId="17ABC5E7" w14:textId="08C76BC2" w:rsidR="3736F1D1" w:rsidRDefault="3736F1D1" w:rsidP="3736F1D1">
      <w:pPr>
        <w:rPr>
          <w:rFonts w:ascii="Aptos" w:eastAsia="Aptos" w:hAnsi="Aptos" w:cs="Aptos"/>
        </w:rPr>
      </w:pPr>
    </w:p>
    <w:p w14:paraId="684ACD53" w14:textId="723C7380" w:rsidR="03927511" w:rsidRDefault="03927511" w:rsidP="3736F1D1">
      <w:pPr>
        <w:rPr>
          <w:rFonts w:ascii="Aptos" w:eastAsia="Aptos" w:hAnsi="Aptos" w:cs="Aptos"/>
          <w:b/>
          <w:bCs/>
          <w:u w:val="single"/>
        </w:rPr>
      </w:pPr>
      <w:r w:rsidRPr="3736F1D1">
        <w:rPr>
          <w:rFonts w:ascii="Aptos" w:eastAsia="Aptos" w:hAnsi="Aptos" w:cs="Aptos"/>
          <w:b/>
          <w:bCs/>
          <w:u w:val="single"/>
        </w:rPr>
        <w:t>The Individual Lesson Plan</w:t>
      </w:r>
    </w:p>
    <w:p w14:paraId="2A6E4998" w14:textId="516F4237" w:rsidR="50A98835" w:rsidRDefault="50A98835">
      <w:r w:rsidRPr="3736F1D1">
        <w:rPr>
          <w:rFonts w:ascii="Aptos" w:eastAsia="Aptos" w:hAnsi="Aptos" w:cs="Aptos"/>
        </w:rPr>
        <w:t>The individual lesson plan is a vital tool for structuring purposeful and inclusive teaching. Within this format, trainees are guided to articulate clear learning objectives, identify substantive and disciplinary knowledge, and sequence teaching to build on prior learning. The plan encourages consideration of adaptive teaching strategies, ensuring that all pupils—including those with SEND, EAL, or from disadvantaged backgrounds—are appropriately supported and challenged. By anticipating misconceptions, planning key questions, and embedding opportunities for assessment, trainees develop a responsive approach to teaching that prioritises pupil progress. The lesson plan also prompts reflection on the role of the teacher and support staff, promoting effective collaboration and classroom management.</w:t>
      </w:r>
    </w:p>
    <w:p w14:paraId="57981E97" w14:textId="7C304FD3" w:rsidR="30B59C22" w:rsidRDefault="30B59C22">
      <w:r>
        <w:rPr>
          <w:noProof/>
        </w:rPr>
        <w:lastRenderedPageBreak/>
        <w:drawing>
          <wp:inline distT="0" distB="0" distL="0" distR="0" wp14:anchorId="1E334304" wp14:editId="2468A1A0">
            <wp:extent cx="6238875" cy="3959953"/>
            <wp:effectExtent l="0" t="0" r="0" b="0"/>
            <wp:docPr id="21114998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99815" name=""/>
                    <pic:cNvPicPr/>
                  </pic:nvPicPr>
                  <pic:blipFill>
                    <a:blip r:embed="rId5">
                      <a:extLst>
                        <a:ext uri="{28A0092B-C50C-407E-A947-70E740481C1C}">
                          <a14:useLocalDpi xmlns:a14="http://schemas.microsoft.com/office/drawing/2010/main"/>
                        </a:ext>
                      </a:extLst>
                    </a:blip>
                    <a:stretch>
                      <a:fillRect/>
                    </a:stretch>
                  </pic:blipFill>
                  <pic:spPr>
                    <a:xfrm>
                      <a:off x="0" y="0"/>
                      <a:ext cx="6238875" cy="3959953"/>
                    </a:xfrm>
                    <a:prstGeom prst="rect">
                      <a:avLst/>
                    </a:prstGeom>
                  </pic:spPr>
                </pic:pic>
              </a:graphicData>
            </a:graphic>
          </wp:inline>
        </w:drawing>
      </w:r>
    </w:p>
    <w:p w14:paraId="0E491412" w14:textId="50947F24" w:rsidR="3736F1D1" w:rsidRDefault="3736F1D1" w:rsidP="3736F1D1">
      <w:pPr>
        <w:rPr>
          <w:rFonts w:ascii="Aptos" w:eastAsia="Aptos" w:hAnsi="Aptos" w:cs="Aptos"/>
        </w:rPr>
      </w:pPr>
    </w:p>
    <w:p w14:paraId="48E4FD69" w14:textId="7EFCB100" w:rsidR="4FCA8759" w:rsidRDefault="4FCA8759">
      <w:r>
        <w:rPr>
          <w:noProof/>
        </w:rPr>
        <w:drawing>
          <wp:inline distT="0" distB="0" distL="0" distR="0" wp14:anchorId="36E1C44A" wp14:editId="34A8D7D7">
            <wp:extent cx="6224954" cy="3933825"/>
            <wp:effectExtent l="0" t="0" r="0" b="0"/>
            <wp:docPr id="20789723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72321" name=""/>
                    <pic:cNvPicPr/>
                  </pic:nvPicPr>
                  <pic:blipFill>
                    <a:blip r:embed="rId6">
                      <a:extLst>
                        <a:ext uri="{28A0092B-C50C-407E-A947-70E740481C1C}">
                          <a14:useLocalDpi xmlns:a14="http://schemas.microsoft.com/office/drawing/2010/main"/>
                        </a:ext>
                      </a:extLst>
                    </a:blip>
                    <a:stretch>
                      <a:fillRect/>
                    </a:stretch>
                  </pic:blipFill>
                  <pic:spPr>
                    <a:xfrm>
                      <a:off x="0" y="0"/>
                      <a:ext cx="6224954" cy="3933825"/>
                    </a:xfrm>
                    <a:prstGeom prst="rect">
                      <a:avLst/>
                    </a:prstGeom>
                  </pic:spPr>
                </pic:pic>
              </a:graphicData>
            </a:graphic>
          </wp:inline>
        </w:drawing>
      </w:r>
    </w:p>
    <w:p w14:paraId="53F3E7A7" w14:textId="306B12AA" w:rsidR="3736F1D1" w:rsidRDefault="3736F1D1" w:rsidP="3736F1D1">
      <w:pPr>
        <w:rPr>
          <w:rFonts w:ascii="Aptos" w:eastAsia="Aptos" w:hAnsi="Aptos" w:cs="Aptos"/>
        </w:rPr>
      </w:pPr>
    </w:p>
    <w:p w14:paraId="6FBC8C34" w14:textId="233BD77E" w:rsidR="711701DF" w:rsidRDefault="711701DF" w:rsidP="711701DF">
      <w:pPr>
        <w:rPr>
          <w:rFonts w:ascii="Aptos" w:eastAsia="Aptos" w:hAnsi="Aptos" w:cs="Aptos"/>
          <w:b/>
          <w:bCs/>
          <w:u w:val="single"/>
        </w:rPr>
      </w:pPr>
    </w:p>
    <w:p w14:paraId="29BA775A" w14:textId="73B61A65" w:rsidR="03927511" w:rsidRDefault="03927511" w:rsidP="3736F1D1">
      <w:pPr>
        <w:rPr>
          <w:rFonts w:ascii="Aptos" w:eastAsia="Aptos" w:hAnsi="Aptos" w:cs="Aptos"/>
          <w:b/>
          <w:bCs/>
          <w:u w:val="single"/>
        </w:rPr>
      </w:pPr>
      <w:r w:rsidRPr="3736F1D1">
        <w:rPr>
          <w:rFonts w:ascii="Aptos" w:eastAsia="Aptos" w:hAnsi="Aptos" w:cs="Aptos"/>
          <w:b/>
          <w:bCs/>
          <w:u w:val="single"/>
        </w:rPr>
        <w:lastRenderedPageBreak/>
        <w:t>The Sequence Plan</w:t>
      </w:r>
    </w:p>
    <w:p w14:paraId="31115175" w14:textId="3A1D83DE" w:rsidR="37030BB4" w:rsidRDefault="37030BB4" w:rsidP="3736F1D1">
      <w:pPr>
        <w:spacing w:after="240"/>
      </w:pPr>
      <w:r w:rsidRPr="3736F1D1">
        <w:rPr>
          <w:rFonts w:ascii="Aptos" w:eastAsia="Aptos" w:hAnsi="Aptos" w:cs="Aptos"/>
        </w:rPr>
        <w:t>From the Developmental Professional Practice placement onwards, trainees are expected to begin designing and delivering sequences of lessons, typically comprising three or more sessions, within a coherent unit of learning. This marks a shift from planning standalone lessons to structuring sustained, purposeful teaching over time. Whether planning a half-term of history or a focused week of maths, sequence planning enables trainees to build learning progressively, ensuring pupils revisit, deepen, and apply key concepts and skills.</w:t>
      </w:r>
    </w:p>
    <w:p w14:paraId="506C6235" w14:textId="66E1547C" w:rsidR="3736F1D1" w:rsidRDefault="37030BB4" w:rsidP="711701DF">
      <w:pPr>
        <w:spacing w:before="240" w:after="240"/>
      </w:pPr>
      <w:r w:rsidRPr="711701DF">
        <w:rPr>
          <w:rFonts w:ascii="Aptos" w:eastAsia="Aptos" w:hAnsi="Aptos" w:cs="Aptos"/>
        </w:rPr>
        <w:t>Engaging with sequence planning helps trainees identify composite outcomes and break them into component steps, aligning each lesson with broader curriculum aims. It supports cognitive development through spaced retrieval, cumulative knowledge-building, and adaptive teaching strategies that respond to pupil progress. It also encourages professional reflection, prompting trainees to consider how prior learning informs future teaching and how assessment can be used diagnostically across a sequence. Introducing this expectation during the Developmental Professional Practice provides a scaffolded opportunity for trainees to develop curriculum fluency, pedagogical coherence, and a strategic understanding of progression in learning.</w:t>
      </w:r>
    </w:p>
    <w:p w14:paraId="0D5B0B49" w14:textId="1F634E5C" w:rsidR="505EEA86" w:rsidRDefault="505EEA86">
      <w:r>
        <w:rPr>
          <w:noProof/>
        </w:rPr>
        <w:drawing>
          <wp:inline distT="0" distB="0" distL="0" distR="0" wp14:anchorId="097EC347" wp14:editId="4B8500A9">
            <wp:extent cx="5735939" cy="5130479"/>
            <wp:effectExtent l="0" t="0" r="0" b="0"/>
            <wp:docPr id="20465691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69195" name=""/>
                    <pic:cNvPicPr/>
                  </pic:nvPicPr>
                  <pic:blipFill>
                    <a:blip r:embed="rId7">
                      <a:extLst>
                        <a:ext uri="{28A0092B-C50C-407E-A947-70E740481C1C}">
                          <a14:useLocalDpi xmlns:a14="http://schemas.microsoft.com/office/drawing/2010/main"/>
                        </a:ext>
                      </a:extLst>
                    </a:blip>
                    <a:stretch>
                      <a:fillRect/>
                    </a:stretch>
                  </pic:blipFill>
                  <pic:spPr>
                    <a:xfrm>
                      <a:off x="0" y="0"/>
                      <a:ext cx="5735939" cy="5130479"/>
                    </a:xfrm>
                    <a:prstGeom prst="rect">
                      <a:avLst/>
                    </a:prstGeom>
                  </pic:spPr>
                </pic:pic>
              </a:graphicData>
            </a:graphic>
          </wp:inline>
        </w:drawing>
      </w:r>
    </w:p>
    <w:p w14:paraId="4F676AAB" w14:textId="28C39A9C" w:rsidR="22ABE438" w:rsidRDefault="22ABE438" w:rsidP="22ABE438">
      <w:pPr>
        <w:rPr>
          <w:b/>
          <w:bCs/>
          <w:sz w:val="32"/>
          <w:szCs w:val="32"/>
          <w:u w:val="single"/>
        </w:rPr>
      </w:pPr>
    </w:p>
    <w:p w14:paraId="00FA802E" w14:textId="72D33E4B" w:rsidR="016A6F1D" w:rsidRDefault="016A6F1D" w:rsidP="711701DF">
      <w:pPr>
        <w:rPr>
          <w:b/>
          <w:bCs/>
          <w:sz w:val="32"/>
          <w:szCs w:val="32"/>
          <w:u w:val="single"/>
        </w:rPr>
      </w:pPr>
      <w:r w:rsidRPr="711701DF">
        <w:rPr>
          <w:b/>
          <w:bCs/>
          <w:sz w:val="32"/>
          <w:szCs w:val="32"/>
          <w:u w:val="single"/>
        </w:rPr>
        <w:t>Professional Boundaries and Planning Dialogue</w:t>
      </w:r>
    </w:p>
    <w:p w14:paraId="01C93F05" w14:textId="7870B1CC" w:rsidR="016A6F1D" w:rsidRDefault="016A6F1D" w:rsidP="711701DF">
      <w:r>
        <w:t>We encourage trainees and mentors to maintain regular, professional dialogue around planning throughout each placement. These conversations are vital for supporting curriculum thinking, adaptive teaching, and responsive pedagogy. However, we also recognise the importance of work-life balance and the right of both trainees and mentors to switch off from work outside of contracted hours.</w:t>
      </w:r>
    </w:p>
    <w:p w14:paraId="6DA84918" w14:textId="53D24984" w:rsidR="016A6F1D" w:rsidRDefault="016A6F1D" w:rsidP="711701DF">
      <w:r>
        <w:t>Trainees should not be expected to email planning documents to mentors during evenings or weekends, unless this has been explicitly agreed in advance and is necessary for a specific purpose (e.g. preparing for an observed lesson</w:t>
      </w:r>
      <w:r w:rsidR="5730E240">
        <w:t xml:space="preserve"> or because a trainee is requiring extra planning support</w:t>
      </w:r>
      <w:r>
        <w:t>). Planning should be shared and discussed within agreed working hours wherever possible, ensuring that professional expectations do not compromise wellbeing.</w:t>
      </w:r>
    </w:p>
    <w:p w14:paraId="07B70A4C" w14:textId="003330B3" w:rsidR="016A6F1D" w:rsidRDefault="016A6F1D" w:rsidP="711701DF">
      <w:r>
        <w:t>This approach reflects our commitment to sustainable professional practice and respectful collaboration across the training partnership.</w:t>
      </w:r>
    </w:p>
    <w:sectPr w:rsidR="016A6F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JYHnTTN9hYacP" int2:id="DbXL8LI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964D"/>
    <w:multiLevelType w:val="hybridMultilevel"/>
    <w:tmpl w:val="56DA5EFE"/>
    <w:lvl w:ilvl="0" w:tplc="D0C6BA1A">
      <w:start w:val="1"/>
      <w:numFmt w:val="bullet"/>
      <w:lvlText w:val=""/>
      <w:lvlJc w:val="left"/>
      <w:pPr>
        <w:ind w:left="720" w:hanging="360"/>
      </w:pPr>
      <w:rPr>
        <w:rFonts w:ascii="Symbol" w:hAnsi="Symbol" w:hint="default"/>
      </w:rPr>
    </w:lvl>
    <w:lvl w:ilvl="1" w:tplc="F866E3A6">
      <w:start w:val="1"/>
      <w:numFmt w:val="bullet"/>
      <w:lvlText w:val="o"/>
      <w:lvlJc w:val="left"/>
      <w:pPr>
        <w:ind w:left="1440" w:hanging="360"/>
      </w:pPr>
      <w:rPr>
        <w:rFonts w:ascii="Courier New" w:hAnsi="Courier New" w:hint="default"/>
      </w:rPr>
    </w:lvl>
    <w:lvl w:ilvl="2" w:tplc="0A8622C4">
      <w:start w:val="1"/>
      <w:numFmt w:val="bullet"/>
      <w:lvlText w:val=""/>
      <w:lvlJc w:val="left"/>
      <w:pPr>
        <w:ind w:left="2160" w:hanging="360"/>
      </w:pPr>
      <w:rPr>
        <w:rFonts w:ascii="Wingdings" w:hAnsi="Wingdings" w:hint="default"/>
      </w:rPr>
    </w:lvl>
    <w:lvl w:ilvl="3" w:tplc="1C16D2BE">
      <w:start w:val="1"/>
      <w:numFmt w:val="bullet"/>
      <w:lvlText w:val=""/>
      <w:lvlJc w:val="left"/>
      <w:pPr>
        <w:ind w:left="2880" w:hanging="360"/>
      </w:pPr>
      <w:rPr>
        <w:rFonts w:ascii="Symbol" w:hAnsi="Symbol" w:hint="default"/>
      </w:rPr>
    </w:lvl>
    <w:lvl w:ilvl="4" w:tplc="6CD46660">
      <w:start w:val="1"/>
      <w:numFmt w:val="bullet"/>
      <w:lvlText w:val="o"/>
      <w:lvlJc w:val="left"/>
      <w:pPr>
        <w:ind w:left="3600" w:hanging="360"/>
      </w:pPr>
      <w:rPr>
        <w:rFonts w:ascii="Courier New" w:hAnsi="Courier New" w:hint="default"/>
      </w:rPr>
    </w:lvl>
    <w:lvl w:ilvl="5" w:tplc="C846C0A6">
      <w:start w:val="1"/>
      <w:numFmt w:val="bullet"/>
      <w:lvlText w:val=""/>
      <w:lvlJc w:val="left"/>
      <w:pPr>
        <w:ind w:left="4320" w:hanging="360"/>
      </w:pPr>
      <w:rPr>
        <w:rFonts w:ascii="Wingdings" w:hAnsi="Wingdings" w:hint="default"/>
      </w:rPr>
    </w:lvl>
    <w:lvl w:ilvl="6" w:tplc="11901BD4">
      <w:start w:val="1"/>
      <w:numFmt w:val="bullet"/>
      <w:lvlText w:val=""/>
      <w:lvlJc w:val="left"/>
      <w:pPr>
        <w:ind w:left="5040" w:hanging="360"/>
      </w:pPr>
      <w:rPr>
        <w:rFonts w:ascii="Symbol" w:hAnsi="Symbol" w:hint="default"/>
      </w:rPr>
    </w:lvl>
    <w:lvl w:ilvl="7" w:tplc="11A08E54">
      <w:start w:val="1"/>
      <w:numFmt w:val="bullet"/>
      <w:lvlText w:val="o"/>
      <w:lvlJc w:val="left"/>
      <w:pPr>
        <w:ind w:left="5760" w:hanging="360"/>
      </w:pPr>
      <w:rPr>
        <w:rFonts w:ascii="Courier New" w:hAnsi="Courier New" w:hint="default"/>
      </w:rPr>
    </w:lvl>
    <w:lvl w:ilvl="8" w:tplc="9080FD7C">
      <w:start w:val="1"/>
      <w:numFmt w:val="bullet"/>
      <w:lvlText w:val=""/>
      <w:lvlJc w:val="left"/>
      <w:pPr>
        <w:ind w:left="6480" w:hanging="360"/>
      </w:pPr>
      <w:rPr>
        <w:rFonts w:ascii="Wingdings" w:hAnsi="Wingdings" w:hint="default"/>
      </w:rPr>
    </w:lvl>
  </w:abstractNum>
  <w:abstractNum w:abstractNumId="1" w15:restartNumberingAfterBreak="0">
    <w:nsid w:val="498B98E0"/>
    <w:multiLevelType w:val="hybridMultilevel"/>
    <w:tmpl w:val="0E88FB0E"/>
    <w:lvl w:ilvl="0" w:tplc="15D4B6BE">
      <w:start w:val="1"/>
      <w:numFmt w:val="bullet"/>
      <w:lvlText w:val=""/>
      <w:lvlJc w:val="left"/>
      <w:pPr>
        <w:ind w:left="720" w:hanging="360"/>
      </w:pPr>
      <w:rPr>
        <w:rFonts w:ascii="Symbol" w:hAnsi="Symbol" w:hint="default"/>
      </w:rPr>
    </w:lvl>
    <w:lvl w:ilvl="1" w:tplc="15A00DD2">
      <w:start w:val="1"/>
      <w:numFmt w:val="bullet"/>
      <w:lvlText w:val="o"/>
      <w:lvlJc w:val="left"/>
      <w:pPr>
        <w:ind w:left="1440" w:hanging="360"/>
      </w:pPr>
      <w:rPr>
        <w:rFonts w:ascii="Courier New" w:hAnsi="Courier New" w:hint="default"/>
      </w:rPr>
    </w:lvl>
    <w:lvl w:ilvl="2" w:tplc="98580CB0">
      <w:start w:val="1"/>
      <w:numFmt w:val="bullet"/>
      <w:lvlText w:val=""/>
      <w:lvlJc w:val="left"/>
      <w:pPr>
        <w:ind w:left="2160" w:hanging="360"/>
      </w:pPr>
      <w:rPr>
        <w:rFonts w:ascii="Wingdings" w:hAnsi="Wingdings" w:hint="default"/>
      </w:rPr>
    </w:lvl>
    <w:lvl w:ilvl="3" w:tplc="11B4ABB8">
      <w:start w:val="1"/>
      <w:numFmt w:val="bullet"/>
      <w:lvlText w:val=""/>
      <w:lvlJc w:val="left"/>
      <w:pPr>
        <w:ind w:left="2880" w:hanging="360"/>
      </w:pPr>
      <w:rPr>
        <w:rFonts w:ascii="Symbol" w:hAnsi="Symbol" w:hint="default"/>
      </w:rPr>
    </w:lvl>
    <w:lvl w:ilvl="4" w:tplc="5AC0F7A0">
      <w:start w:val="1"/>
      <w:numFmt w:val="bullet"/>
      <w:lvlText w:val="o"/>
      <w:lvlJc w:val="left"/>
      <w:pPr>
        <w:ind w:left="3600" w:hanging="360"/>
      </w:pPr>
      <w:rPr>
        <w:rFonts w:ascii="Courier New" w:hAnsi="Courier New" w:hint="default"/>
      </w:rPr>
    </w:lvl>
    <w:lvl w:ilvl="5" w:tplc="51080F76">
      <w:start w:val="1"/>
      <w:numFmt w:val="bullet"/>
      <w:lvlText w:val=""/>
      <w:lvlJc w:val="left"/>
      <w:pPr>
        <w:ind w:left="4320" w:hanging="360"/>
      </w:pPr>
      <w:rPr>
        <w:rFonts w:ascii="Wingdings" w:hAnsi="Wingdings" w:hint="default"/>
      </w:rPr>
    </w:lvl>
    <w:lvl w:ilvl="6" w:tplc="7E66A740">
      <w:start w:val="1"/>
      <w:numFmt w:val="bullet"/>
      <w:lvlText w:val=""/>
      <w:lvlJc w:val="left"/>
      <w:pPr>
        <w:ind w:left="5040" w:hanging="360"/>
      </w:pPr>
      <w:rPr>
        <w:rFonts w:ascii="Symbol" w:hAnsi="Symbol" w:hint="default"/>
      </w:rPr>
    </w:lvl>
    <w:lvl w:ilvl="7" w:tplc="E0B28936">
      <w:start w:val="1"/>
      <w:numFmt w:val="bullet"/>
      <w:lvlText w:val="o"/>
      <w:lvlJc w:val="left"/>
      <w:pPr>
        <w:ind w:left="5760" w:hanging="360"/>
      </w:pPr>
      <w:rPr>
        <w:rFonts w:ascii="Courier New" w:hAnsi="Courier New" w:hint="default"/>
      </w:rPr>
    </w:lvl>
    <w:lvl w:ilvl="8" w:tplc="86887BD4">
      <w:start w:val="1"/>
      <w:numFmt w:val="bullet"/>
      <w:lvlText w:val=""/>
      <w:lvlJc w:val="left"/>
      <w:pPr>
        <w:ind w:left="6480" w:hanging="360"/>
      </w:pPr>
      <w:rPr>
        <w:rFonts w:ascii="Wingdings" w:hAnsi="Wingdings" w:hint="default"/>
      </w:rPr>
    </w:lvl>
  </w:abstractNum>
  <w:abstractNum w:abstractNumId="2" w15:restartNumberingAfterBreak="0">
    <w:nsid w:val="5B7148D7"/>
    <w:multiLevelType w:val="hybridMultilevel"/>
    <w:tmpl w:val="3AFC3BDC"/>
    <w:lvl w:ilvl="0" w:tplc="C284D072">
      <w:start w:val="1"/>
      <w:numFmt w:val="bullet"/>
      <w:lvlText w:val=""/>
      <w:lvlJc w:val="left"/>
      <w:pPr>
        <w:ind w:left="720" w:hanging="360"/>
      </w:pPr>
      <w:rPr>
        <w:rFonts w:ascii="Symbol" w:hAnsi="Symbol" w:hint="default"/>
      </w:rPr>
    </w:lvl>
    <w:lvl w:ilvl="1" w:tplc="5DC4ACB0">
      <w:start w:val="1"/>
      <w:numFmt w:val="bullet"/>
      <w:lvlText w:val="o"/>
      <w:lvlJc w:val="left"/>
      <w:pPr>
        <w:ind w:left="1440" w:hanging="360"/>
      </w:pPr>
      <w:rPr>
        <w:rFonts w:ascii="Courier New" w:hAnsi="Courier New" w:hint="default"/>
      </w:rPr>
    </w:lvl>
    <w:lvl w:ilvl="2" w:tplc="596E5B20">
      <w:start w:val="1"/>
      <w:numFmt w:val="bullet"/>
      <w:lvlText w:val=""/>
      <w:lvlJc w:val="left"/>
      <w:pPr>
        <w:ind w:left="2160" w:hanging="360"/>
      </w:pPr>
      <w:rPr>
        <w:rFonts w:ascii="Wingdings" w:hAnsi="Wingdings" w:hint="default"/>
      </w:rPr>
    </w:lvl>
    <w:lvl w:ilvl="3" w:tplc="6CE862D8">
      <w:start w:val="1"/>
      <w:numFmt w:val="bullet"/>
      <w:lvlText w:val=""/>
      <w:lvlJc w:val="left"/>
      <w:pPr>
        <w:ind w:left="2880" w:hanging="360"/>
      </w:pPr>
      <w:rPr>
        <w:rFonts w:ascii="Symbol" w:hAnsi="Symbol" w:hint="default"/>
      </w:rPr>
    </w:lvl>
    <w:lvl w:ilvl="4" w:tplc="78E68322">
      <w:start w:val="1"/>
      <w:numFmt w:val="bullet"/>
      <w:lvlText w:val="o"/>
      <w:lvlJc w:val="left"/>
      <w:pPr>
        <w:ind w:left="3600" w:hanging="360"/>
      </w:pPr>
      <w:rPr>
        <w:rFonts w:ascii="Courier New" w:hAnsi="Courier New" w:hint="default"/>
      </w:rPr>
    </w:lvl>
    <w:lvl w:ilvl="5" w:tplc="443ADE32">
      <w:start w:val="1"/>
      <w:numFmt w:val="bullet"/>
      <w:lvlText w:val=""/>
      <w:lvlJc w:val="left"/>
      <w:pPr>
        <w:ind w:left="4320" w:hanging="360"/>
      </w:pPr>
      <w:rPr>
        <w:rFonts w:ascii="Wingdings" w:hAnsi="Wingdings" w:hint="default"/>
      </w:rPr>
    </w:lvl>
    <w:lvl w:ilvl="6" w:tplc="A1AEFB6E">
      <w:start w:val="1"/>
      <w:numFmt w:val="bullet"/>
      <w:lvlText w:val=""/>
      <w:lvlJc w:val="left"/>
      <w:pPr>
        <w:ind w:left="5040" w:hanging="360"/>
      </w:pPr>
      <w:rPr>
        <w:rFonts w:ascii="Symbol" w:hAnsi="Symbol" w:hint="default"/>
      </w:rPr>
    </w:lvl>
    <w:lvl w:ilvl="7" w:tplc="65086E8A">
      <w:start w:val="1"/>
      <w:numFmt w:val="bullet"/>
      <w:lvlText w:val="o"/>
      <w:lvlJc w:val="left"/>
      <w:pPr>
        <w:ind w:left="5760" w:hanging="360"/>
      </w:pPr>
      <w:rPr>
        <w:rFonts w:ascii="Courier New" w:hAnsi="Courier New" w:hint="default"/>
      </w:rPr>
    </w:lvl>
    <w:lvl w:ilvl="8" w:tplc="3FCCFC6E">
      <w:start w:val="1"/>
      <w:numFmt w:val="bullet"/>
      <w:lvlText w:val=""/>
      <w:lvlJc w:val="left"/>
      <w:pPr>
        <w:ind w:left="6480" w:hanging="360"/>
      </w:pPr>
      <w:rPr>
        <w:rFonts w:ascii="Wingdings" w:hAnsi="Wingdings" w:hint="default"/>
      </w:rPr>
    </w:lvl>
  </w:abstractNum>
  <w:abstractNum w:abstractNumId="3" w15:restartNumberingAfterBreak="0">
    <w:nsid w:val="5C09C18E"/>
    <w:multiLevelType w:val="hybridMultilevel"/>
    <w:tmpl w:val="782CAD96"/>
    <w:lvl w:ilvl="0" w:tplc="C6C4CA76">
      <w:start w:val="1"/>
      <w:numFmt w:val="bullet"/>
      <w:lvlText w:val=""/>
      <w:lvlJc w:val="left"/>
      <w:pPr>
        <w:ind w:left="720" w:hanging="360"/>
      </w:pPr>
      <w:rPr>
        <w:rFonts w:ascii="Symbol" w:hAnsi="Symbol" w:hint="default"/>
      </w:rPr>
    </w:lvl>
    <w:lvl w:ilvl="1" w:tplc="9AE00EA0">
      <w:start w:val="1"/>
      <w:numFmt w:val="bullet"/>
      <w:lvlText w:val="o"/>
      <w:lvlJc w:val="left"/>
      <w:pPr>
        <w:ind w:left="1440" w:hanging="360"/>
      </w:pPr>
      <w:rPr>
        <w:rFonts w:ascii="Courier New" w:hAnsi="Courier New" w:hint="default"/>
      </w:rPr>
    </w:lvl>
    <w:lvl w:ilvl="2" w:tplc="89F03C72">
      <w:start w:val="1"/>
      <w:numFmt w:val="bullet"/>
      <w:lvlText w:val=""/>
      <w:lvlJc w:val="left"/>
      <w:pPr>
        <w:ind w:left="2160" w:hanging="360"/>
      </w:pPr>
      <w:rPr>
        <w:rFonts w:ascii="Wingdings" w:hAnsi="Wingdings" w:hint="default"/>
      </w:rPr>
    </w:lvl>
    <w:lvl w:ilvl="3" w:tplc="5A1EC45C">
      <w:start w:val="1"/>
      <w:numFmt w:val="bullet"/>
      <w:lvlText w:val=""/>
      <w:lvlJc w:val="left"/>
      <w:pPr>
        <w:ind w:left="2880" w:hanging="360"/>
      </w:pPr>
      <w:rPr>
        <w:rFonts w:ascii="Symbol" w:hAnsi="Symbol" w:hint="default"/>
      </w:rPr>
    </w:lvl>
    <w:lvl w:ilvl="4" w:tplc="9588F31E">
      <w:start w:val="1"/>
      <w:numFmt w:val="bullet"/>
      <w:lvlText w:val="o"/>
      <w:lvlJc w:val="left"/>
      <w:pPr>
        <w:ind w:left="3600" w:hanging="360"/>
      </w:pPr>
      <w:rPr>
        <w:rFonts w:ascii="Courier New" w:hAnsi="Courier New" w:hint="default"/>
      </w:rPr>
    </w:lvl>
    <w:lvl w:ilvl="5" w:tplc="605AC79C">
      <w:start w:val="1"/>
      <w:numFmt w:val="bullet"/>
      <w:lvlText w:val=""/>
      <w:lvlJc w:val="left"/>
      <w:pPr>
        <w:ind w:left="4320" w:hanging="360"/>
      </w:pPr>
      <w:rPr>
        <w:rFonts w:ascii="Wingdings" w:hAnsi="Wingdings" w:hint="default"/>
      </w:rPr>
    </w:lvl>
    <w:lvl w:ilvl="6" w:tplc="4C6666CA">
      <w:start w:val="1"/>
      <w:numFmt w:val="bullet"/>
      <w:lvlText w:val=""/>
      <w:lvlJc w:val="left"/>
      <w:pPr>
        <w:ind w:left="5040" w:hanging="360"/>
      </w:pPr>
      <w:rPr>
        <w:rFonts w:ascii="Symbol" w:hAnsi="Symbol" w:hint="default"/>
      </w:rPr>
    </w:lvl>
    <w:lvl w:ilvl="7" w:tplc="BB86A360">
      <w:start w:val="1"/>
      <w:numFmt w:val="bullet"/>
      <w:lvlText w:val="o"/>
      <w:lvlJc w:val="left"/>
      <w:pPr>
        <w:ind w:left="5760" w:hanging="360"/>
      </w:pPr>
      <w:rPr>
        <w:rFonts w:ascii="Courier New" w:hAnsi="Courier New" w:hint="default"/>
      </w:rPr>
    </w:lvl>
    <w:lvl w:ilvl="8" w:tplc="2550FBA6">
      <w:start w:val="1"/>
      <w:numFmt w:val="bullet"/>
      <w:lvlText w:val=""/>
      <w:lvlJc w:val="left"/>
      <w:pPr>
        <w:ind w:left="6480" w:hanging="360"/>
      </w:pPr>
      <w:rPr>
        <w:rFonts w:ascii="Wingdings" w:hAnsi="Wingdings" w:hint="default"/>
      </w:rPr>
    </w:lvl>
  </w:abstractNum>
  <w:abstractNum w:abstractNumId="4" w15:restartNumberingAfterBreak="0">
    <w:nsid w:val="6741B001"/>
    <w:multiLevelType w:val="hybridMultilevel"/>
    <w:tmpl w:val="66567F74"/>
    <w:lvl w:ilvl="0" w:tplc="2B7A489A">
      <w:start w:val="1"/>
      <w:numFmt w:val="bullet"/>
      <w:lvlText w:val=""/>
      <w:lvlJc w:val="left"/>
      <w:pPr>
        <w:ind w:left="720" w:hanging="360"/>
      </w:pPr>
      <w:rPr>
        <w:rFonts w:ascii="Symbol" w:hAnsi="Symbol" w:hint="default"/>
      </w:rPr>
    </w:lvl>
    <w:lvl w:ilvl="1" w:tplc="B49C70DC">
      <w:start w:val="1"/>
      <w:numFmt w:val="bullet"/>
      <w:lvlText w:val="o"/>
      <w:lvlJc w:val="left"/>
      <w:pPr>
        <w:ind w:left="1440" w:hanging="360"/>
      </w:pPr>
      <w:rPr>
        <w:rFonts w:ascii="Courier New" w:hAnsi="Courier New" w:hint="default"/>
      </w:rPr>
    </w:lvl>
    <w:lvl w:ilvl="2" w:tplc="32822B5A">
      <w:start w:val="1"/>
      <w:numFmt w:val="bullet"/>
      <w:lvlText w:val=""/>
      <w:lvlJc w:val="left"/>
      <w:pPr>
        <w:ind w:left="2160" w:hanging="360"/>
      </w:pPr>
      <w:rPr>
        <w:rFonts w:ascii="Wingdings" w:hAnsi="Wingdings" w:hint="default"/>
      </w:rPr>
    </w:lvl>
    <w:lvl w:ilvl="3" w:tplc="66D6B73A">
      <w:start w:val="1"/>
      <w:numFmt w:val="bullet"/>
      <w:lvlText w:val=""/>
      <w:lvlJc w:val="left"/>
      <w:pPr>
        <w:ind w:left="2880" w:hanging="360"/>
      </w:pPr>
      <w:rPr>
        <w:rFonts w:ascii="Symbol" w:hAnsi="Symbol" w:hint="default"/>
      </w:rPr>
    </w:lvl>
    <w:lvl w:ilvl="4" w:tplc="D0C6B2B6">
      <w:start w:val="1"/>
      <w:numFmt w:val="bullet"/>
      <w:lvlText w:val="o"/>
      <w:lvlJc w:val="left"/>
      <w:pPr>
        <w:ind w:left="3600" w:hanging="360"/>
      </w:pPr>
      <w:rPr>
        <w:rFonts w:ascii="Courier New" w:hAnsi="Courier New" w:hint="default"/>
      </w:rPr>
    </w:lvl>
    <w:lvl w:ilvl="5" w:tplc="7BEA4FDA">
      <w:start w:val="1"/>
      <w:numFmt w:val="bullet"/>
      <w:lvlText w:val=""/>
      <w:lvlJc w:val="left"/>
      <w:pPr>
        <w:ind w:left="4320" w:hanging="360"/>
      </w:pPr>
      <w:rPr>
        <w:rFonts w:ascii="Wingdings" w:hAnsi="Wingdings" w:hint="default"/>
      </w:rPr>
    </w:lvl>
    <w:lvl w:ilvl="6" w:tplc="CFDA8882">
      <w:start w:val="1"/>
      <w:numFmt w:val="bullet"/>
      <w:lvlText w:val=""/>
      <w:lvlJc w:val="left"/>
      <w:pPr>
        <w:ind w:left="5040" w:hanging="360"/>
      </w:pPr>
      <w:rPr>
        <w:rFonts w:ascii="Symbol" w:hAnsi="Symbol" w:hint="default"/>
      </w:rPr>
    </w:lvl>
    <w:lvl w:ilvl="7" w:tplc="6E94A7B6">
      <w:start w:val="1"/>
      <w:numFmt w:val="bullet"/>
      <w:lvlText w:val="o"/>
      <w:lvlJc w:val="left"/>
      <w:pPr>
        <w:ind w:left="5760" w:hanging="360"/>
      </w:pPr>
      <w:rPr>
        <w:rFonts w:ascii="Courier New" w:hAnsi="Courier New" w:hint="default"/>
      </w:rPr>
    </w:lvl>
    <w:lvl w:ilvl="8" w:tplc="6E3E98FA">
      <w:start w:val="1"/>
      <w:numFmt w:val="bullet"/>
      <w:lvlText w:val=""/>
      <w:lvlJc w:val="left"/>
      <w:pPr>
        <w:ind w:left="6480" w:hanging="360"/>
      </w:pPr>
      <w:rPr>
        <w:rFonts w:ascii="Wingdings" w:hAnsi="Wingdings" w:hint="default"/>
      </w:rPr>
    </w:lvl>
  </w:abstractNum>
  <w:abstractNum w:abstractNumId="5" w15:restartNumberingAfterBreak="0">
    <w:nsid w:val="75E4DB99"/>
    <w:multiLevelType w:val="hybridMultilevel"/>
    <w:tmpl w:val="F2F67054"/>
    <w:lvl w:ilvl="0" w:tplc="E57E8F82">
      <w:start w:val="1"/>
      <w:numFmt w:val="bullet"/>
      <w:lvlText w:val=""/>
      <w:lvlJc w:val="left"/>
      <w:pPr>
        <w:ind w:left="720" w:hanging="360"/>
      </w:pPr>
      <w:rPr>
        <w:rFonts w:ascii="Symbol" w:hAnsi="Symbol" w:hint="default"/>
      </w:rPr>
    </w:lvl>
    <w:lvl w:ilvl="1" w:tplc="F2042DE6">
      <w:start w:val="1"/>
      <w:numFmt w:val="bullet"/>
      <w:lvlText w:val="o"/>
      <w:lvlJc w:val="left"/>
      <w:pPr>
        <w:ind w:left="1440" w:hanging="360"/>
      </w:pPr>
      <w:rPr>
        <w:rFonts w:ascii="Courier New" w:hAnsi="Courier New" w:hint="default"/>
      </w:rPr>
    </w:lvl>
    <w:lvl w:ilvl="2" w:tplc="15DC1216">
      <w:start w:val="1"/>
      <w:numFmt w:val="bullet"/>
      <w:lvlText w:val=""/>
      <w:lvlJc w:val="left"/>
      <w:pPr>
        <w:ind w:left="2160" w:hanging="360"/>
      </w:pPr>
      <w:rPr>
        <w:rFonts w:ascii="Wingdings" w:hAnsi="Wingdings" w:hint="default"/>
      </w:rPr>
    </w:lvl>
    <w:lvl w:ilvl="3" w:tplc="24704C0C">
      <w:start w:val="1"/>
      <w:numFmt w:val="bullet"/>
      <w:lvlText w:val=""/>
      <w:lvlJc w:val="left"/>
      <w:pPr>
        <w:ind w:left="2880" w:hanging="360"/>
      </w:pPr>
      <w:rPr>
        <w:rFonts w:ascii="Symbol" w:hAnsi="Symbol" w:hint="default"/>
      </w:rPr>
    </w:lvl>
    <w:lvl w:ilvl="4" w:tplc="E174D4AC">
      <w:start w:val="1"/>
      <w:numFmt w:val="bullet"/>
      <w:lvlText w:val="o"/>
      <w:lvlJc w:val="left"/>
      <w:pPr>
        <w:ind w:left="3600" w:hanging="360"/>
      </w:pPr>
      <w:rPr>
        <w:rFonts w:ascii="Courier New" w:hAnsi="Courier New" w:hint="default"/>
      </w:rPr>
    </w:lvl>
    <w:lvl w:ilvl="5" w:tplc="40C068C2">
      <w:start w:val="1"/>
      <w:numFmt w:val="bullet"/>
      <w:lvlText w:val=""/>
      <w:lvlJc w:val="left"/>
      <w:pPr>
        <w:ind w:left="4320" w:hanging="360"/>
      </w:pPr>
      <w:rPr>
        <w:rFonts w:ascii="Wingdings" w:hAnsi="Wingdings" w:hint="default"/>
      </w:rPr>
    </w:lvl>
    <w:lvl w:ilvl="6" w:tplc="5D8885C2">
      <w:start w:val="1"/>
      <w:numFmt w:val="bullet"/>
      <w:lvlText w:val=""/>
      <w:lvlJc w:val="left"/>
      <w:pPr>
        <w:ind w:left="5040" w:hanging="360"/>
      </w:pPr>
      <w:rPr>
        <w:rFonts w:ascii="Symbol" w:hAnsi="Symbol" w:hint="default"/>
      </w:rPr>
    </w:lvl>
    <w:lvl w:ilvl="7" w:tplc="0A6C4CA8">
      <w:start w:val="1"/>
      <w:numFmt w:val="bullet"/>
      <w:lvlText w:val="o"/>
      <w:lvlJc w:val="left"/>
      <w:pPr>
        <w:ind w:left="5760" w:hanging="360"/>
      </w:pPr>
      <w:rPr>
        <w:rFonts w:ascii="Courier New" w:hAnsi="Courier New" w:hint="default"/>
      </w:rPr>
    </w:lvl>
    <w:lvl w:ilvl="8" w:tplc="611A9430">
      <w:start w:val="1"/>
      <w:numFmt w:val="bullet"/>
      <w:lvlText w:val=""/>
      <w:lvlJc w:val="left"/>
      <w:pPr>
        <w:ind w:left="6480" w:hanging="360"/>
      </w:pPr>
      <w:rPr>
        <w:rFonts w:ascii="Wingdings" w:hAnsi="Wingdings" w:hint="default"/>
      </w:rPr>
    </w:lvl>
  </w:abstractNum>
  <w:num w:numId="1" w16cid:durableId="1862206778">
    <w:abstractNumId w:val="3"/>
  </w:num>
  <w:num w:numId="2" w16cid:durableId="582766588">
    <w:abstractNumId w:val="4"/>
  </w:num>
  <w:num w:numId="3" w16cid:durableId="714083319">
    <w:abstractNumId w:val="2"/>
  </w:num>
  <w:num w:numId="4" w16cid:durableId="166287585">
    <w:abstractNumId w:val="5"/>
  </w:num>
  <w:num w:numId="5" w16cid:durableId="1730760232">
    <w:abstractNumId w:val="1"/>
  </w:num>
  <w:num w:numId="6" w16cid:durableId="178581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81C7FB"/>
    <w:rsid w:val="0039792D"/>
    <w:rsid w:val="006A52DE"/>
    <w:rsid w:val="0074783F"/>
    <w:rsid w:val="007D52EE"/>
    <w:rsid w:val="013FB6D3"/>
    <w:rsid w:val="016A6F1D"/>
    <w:rsid w:val="03927511"/>
    <w:rsid w:val="04A04B3C"/>
    <w:rsid w:val="04E1666C"/>
    <w:rsid w:val="0574973A"/>
    <w:rsid w:val="05DF7C25"/>
    <w:rsid w:val="082804BD"/>
    <w:rsid w:val="08332F48"/>
    <w:rsid w:val="09967FB2"/>
    <w:rsid w:val="0AEAF5F9"/>
    <w:rsid w:val="0DD76BCC"/>
    <w:rsid w:val="0E6A5575"/>
    <w:rsid w:val="0F4D32E9"/>
    <w:rsid w:val="1478E884"/>
    <w:rsid w:val="16C110EF"/>
    <w:rsid w:val="192F5262"/>
    <w:rsid w:val="1AFCB92A"/>
    <w:rsid w:val="1C39DF69"/>
    <w:rsid w:val="1CA95C02"/>
    <w:rsid w:val="1E6E39FB"/>
    <w:rsid w:val="1E822C0E"/>
    <w:rsid w:val="206748A5"/>
    <w:rsid w:val="20C7F891"/>
    <w:rsid w:val="20E049B9"/>
    <w:rsid w:val="212F4ADC"/>
    <w:rsid w:val="220E9615"/>
    <w:rsid w:val="22ABE438"/>
    <w:rsid w:val="233AD417"/>
    <w:rsid w:val="23B93569"/>
    <w:rsid w:val="23BDF941"/>
    <w:rsid w:val="2519B182"/>
    <w:rsid w:val="25A4B7CA"/>
    <w:rsid w:val="25DC43B6"/>
    <w:rsid w:val="2792DB09"/>
    <w:rsid w:val="286ED1AC"/>
    <w:rsid w:val="290DDCB4"/>
    <w:rsid w:val="2B1D21FA"/>
    <w:rsid w:val="2BB41B3B"/>
    <w:rsid w:val="2C79A71F"/>
    <w:rsid w:val="2D03E111"/>
    <w:rsid w:val="2E0B0480"/>
    <w:rsid w:val="2E7DF33C"/>
    <w:rsid w:val="2F8F6ED7"/>
    <w:rsid w:val="30B59C22"/>
    <w:rsid w:val="31B407CB"/>
    <w:rsid w:val="330C3837"/>
    <w:rsid w:val="35AD94AE"/>
    <w:rsid w:val="37030BB4"/>
    <w:rsid w:val="37298DF9"/>
    <w:rsid w:val="3736F1D1"/>
    <w:rsid w:val="382DD4E1"/>
    <w:rsid w:val="38B622AD"/>
    <w:rsid w:val="3AB060D2"/>
    <w:rsid w:val="3B36DD5A"/>
    <w:rsid w:val="3BD35B9A"/>
    <w:rsid w:val="4200BA12"/>
    <w:rsid w:val="4266F271"/>
    <w:rsid w:val="4274CB12"/>
    <w:rsid w:val="42B5ED61"/>
    <w:rsid w:val="44424FEE"/>
    <w:rsid w:val="44EF2403"/>
    <w:rsid w:val="450FAA04"/>
    <w:rsid w:val="461CC827"/>
    <w:rsid w:val="47260BFD"/>
    <w:rsid w:val="4824D2AB"/>
    <w:rsid w:val="49E5D7D0"/>
    <w:rsid w:val="4A494C02"/>
    <w:rsid w:val="4D346819"/>
    <w:rsid w:val="4FCA8759"/>
    <w:rsid w:val="505EEA86"/>
    <w:rsid w:val="50A98835"/>
    <w:rsid w:val="51B1A6E1"/>
    <w:rsid w:val="52859C44"/>
    <w:rsid w:val="52FA9581"/>
    <w:rsid w:val="531AFBD1"/>
    <w:rsid w:val="53A1F0F9"/>
    <w:rsid w:val="55B63E72"/>
    <w:rsid w:val="56229B1A"/>
    <w:rsid w:val="57289E84"/>
    <w:rsid w:val="5730E240"/>
    <w:rsid w:val="596A044A"/>
    <w:rsid w:val="596C69B9"/>
    <w:rsid w:val="5C5F29FA"/>
    <w:rsid w:val="5E3826E4"/>
    <w:rsid w:val="5FCF0868"/>
    <w:rsid w:val="61D25B71"/>
    <w:rsid w:val="6288045C"/>
    <w:rsid w:val="628EAD9E"/>
    <w:rsid w:val="63C2F038"/>
    <w:rsid w:val="64A53F42"/>
    <w:rsid w:val="6A19752E"/>
    <w:rsid w:val="6B552B56"/>
    <w:rsid w:val="6B62B70E"/>
    <w:rsid w:val="6D7C6F81"/>
    <w:rsid w:val="6E15E80D"/>
    <w:rsid w:val="6E81C7FB"/>
    <w:rsid w:val="7053A44B"/>
    <w:rsid w:val="70935345"/>
    <w:rsid w:val="70E975E2"/>
    <w:rsid w:val="70EC1571"/>
    <w:rsid w:val="711701DF"/>
    <w:rsid w:val="718B6061"/>
    <w:rsid w:val="72CEA3C0"/>
    <w:rsid w:val="73186FFC"/>
    <w:rsid w:val="753CC42A"/>
    <w:rsid w:val="75B75305"/>
    <w:rsid w:val="79BD4660"/>
    <w:rsid w:val="7AF1AB28"/>
    <w:rsid w:val="7B73AD9F"/>
    <w:rsid w:val="7B821E12"/>
    <w:rsid w:val="7CDE4182"/>
    <w:rsid w:val="7DFA193E"/>
    <w:rsid w:val="7E33FE3B"/>
    <w:rsid w:val="7EA7778C"/>
    <w:rsid w:val="7F4FB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2F48"/>
  <w15:chartTrackingRefBased/>
  <w15:docId w15:val="{1F4C7FC3-EE15-43B4-97F1-DE877557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36F1D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736F1D1"/>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3736F1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1411</Words>
  <Characters>8665</Characters>
  <Application>Microsoft Office Word</Application>
  <DocSecurity>0</DocSecurity>
  <Lines>240</Lines>
  <Paragraphs>72</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Arnold-Lewis</dc:creator>
  <cp:keywords/>
  <dc:description/>
  <cp:lastModifiedBy>Richard Arnold-Lewis</cp:lastModifiedBy>
  <cp:revision>2</cp:revision>
  <dcterms:created xsi:type="dcterms:W3CDTF">2025-08-26T07:41:00Z</dcterms:created>
  <dcterms:modified xsi:type="dcterms:W3CDTF">2025-08-26T07:41:00Z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2fc6c7a1-3b95-4d41-8210-633bbf8aa3d4</vt:lpwstr>
  </property>
</Properties>
</file>